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5139C" w14:textId="77777777" w:rsidR="006C417A" w:rsidRDefault="006C417A"/>
    <w:p w14:paraId="0B4E10F5" w14:textId="77777777" w:rsidR="009662DB" w:rsidRDefault="009662DB" w:rsidP="0087528B">
      <w:pPr>
        <w:rPr>
          <w:b/>
        </w:rPr>
      </w:pPr>
    </w:p>
    <w:p w14:paraId="4CED2CD8" w14:textId="7FB103FD"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FD50F2">
        <w:rPr>
          <w:b/>
        </w:rPr>
        <w:t>-HYB</w:t>
      </w:r>
      <w:r>
        <w:br/>
      </w:r>
      <w:r w:rsidRPr="00A86C21">
        <w:rPr>
          <w:b/>
        </w:rPr>
        <w:t>Semester &amp; Year:</w:t>
      </w:r>
      <w:r w:rsidR="002F4CF2">
        <w:t xml:space="preserve">  </w:t>
      </w:r>
      <w:r w:rsidR="00CE26E9">
        <w:rPr>
          <w:i/>
          <w:iCs/>
        </w:rPr>
        <w:t>8</w:t>
      </w:r>
      <w:r w:rsidR="00CE26E9" w:rsidRPr="00CE57C5">
        <w:rPr>
          <w:i/>
          <w:iCs/>
        </w:rPr>
        <w:t>-week</w:t>
      </w:r>
      <w:r w:rsidR="00CE57C5" w:rsidRPr="00CE57C5">
        <w:rPr>
          <w:i/>
          <w:iCs/>
        </w:rPr>
        <w:t xml:space="preserve">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663DC094"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 xml:space="preserve">Biology Building </w:t>
      </w:r>
      <w:r w:rsidR="00C85C6B">
        <w:rPr>
          <w:sz w:val="24"/>
          <w:szCs w:val="24"/>
        </w:rPr>
        <w:t xml:space="preserve">(BLGY) </w:t>
      </w:r>
      <w:r w:rsidR="00CE57C5">
        <w:rPr>
          <w:sz w:val="24"/>
          <w:szCs w:val="24"/>
        </w:rPr>
        <w:t>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4E13E48" w:rsidR="00BD224E" w:rsidRPr="00831ECC" w:rsidRDefault="00831ECC" w:rsidP="00831ECC">
      <w:pPr>
        <w:pStyle w:val="ListParagraph"/>
        <w:numPr>
          <w:ilvl w:val="0"/>
          <w:numId w:val="2"/>
        </w:numPr>
        <w:rPr>
          <w:color w:val="FF0000"/>
        </w:rPr>
      </w:pPr>
      <w:r>
        <w:rPr>
          <w:color w:val="FF0000"/>
        </w:rPr>
        <w:t>No Lab book or packet is required.  All materials for lab will be provided via handouts.</w:t>
      </w:r>
    </w:p>
    <w:p w14:paraId="303DFAED" w14:textId="77777777" w:rsidR="0087528B" w:rsidRPr="008A6947" w:rsidRDefault="0087528B" w:rsidP="0087528B">
      <w:pPr>
        <w:pStyle w:val="ListParagraph"/>
        <w:numPr>
          <w:ilvl w:val="0"/>
          <w:numId w:val="2"/>
        </w:numPr>
        <w:rPr>
          <w:bCs/>
        </w:rPr>
      </w:pPr>
      <w:r>
        <w:rPr>
          <w:bCs/>
        </w:rPr>
        <w:t xml:space="preserve">Biology – </w:t>
      </w:r>
      <w:proofErr w:type="spellStart"/>
      <w:r>
        <w:rPr>
          <w:bCs/>
        </w:rPr>
        <w:t>Openstax</w:t>
      </w:r>
      <w:proofErr w:type="spellEnd"/>
      <w:r>
        <w:rPr>
          <w:bCs/>
        </w:rPr>
        <w:t xml:space="preserve">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6370F979"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 xml:space="preserve">Safety glasses will be required for certain lab </w:t>
      </w:r>
      <w:r w:rsidR="00EF077A" w:rsidRPr="00D644E7">
        <w:rPr>
          <w:b/>
          <w:bCs/>
          <w:u w:val="single"/>
        </w:rPr>
        <w:t>activities</w:t>
      </w:r>
      <w:r w:rsidR="00EF077A" w:rsidRPr="002B5E14">
        <w:rPr>
          <w:bCs/>
        </w:rPr>
        <w:t>;</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4E0478E1" w:rsidR="0087528B" w:rsidRPr="00DA4660" w:rsidRDefault="00FF4418" w:rsidP="0087528B">
      <w:pPr>
        <w:numPr>
          <w:ilvl w:val="0"/>
          <w:numId w:val="1"/>
        </w:numPr>
        <w:rPr>
          <w:bCs/>
        </w:rPr>
      </w:pPr>
      <w:r>
        <w:rPr>
          <w:bCs/>
        </w:rPr>
        <w:t>A</w:t>
      </w:r>
      <w:r w:rsidR="0087528B" w:rsidRPr="00DA4660">
        <w:rPr>
          <w:bCs/>
        </w:rPr>
        <w:t xml:space="preserve">pply scientific reasoning to investigate </w:t>
      </w:r>
      <w:r w:rsidR="00CE26E9" w:rsidRPr="00DA4660">
        <w:rPr>
          <w:bCs/>
        </w:rPr>
        <w:t>questions and</w:t>
      </w:r>
      <w:r w:rsidR="0087528B" w:rsidRPr="00DA4660">
        <w:rPr>
          <w:bCs/>
        </w:rPr>
        <w:t xml:space="preserve">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169E8A6E" w:rsidR="0087528B" w:rsidRDefault="0087528B" w:rsidP="0087528B">
      <w:pPr>
        <w:rPr>
          <w:rStyle w:val="Hyperlink"/>
          <w:i/>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will</w:t>
      </w:r>
      <w:r>
        <w:rPr>
          <w:bCs/>
        </w:rPr>
        <w:t xml:space="preserve"> not be accepted after</w:t>
      </w:r>
      <w:r w:rsidRPr="00DB5948">
        <w:rPr>
          <w:bCs/>
        </w:rPr>
        <w:t xml:space="preserve">.  Late work can be turned in via e-mail to my e-mail address: </w:t>
      </w:r>
      <w:hyperlink r:id="rId9" w:history="1">
        <w:r w:rsidRPr="00DB5948">
          <w:rPr>
            <w:rStyle w:val="Hyperlink"/>
            <w:i/>
          </w:rPr>
          <w:t>Mark.Storey@texarkanacollege.edu</w:t>
        </w:r>
      </w:hyperlink>
    </w:p>
    <w:p w14:paraId="5B314FB6" w14:textId="77777777" w:rsidR="007D69DA" w:rsidRPr="002B5E14" w:rsidRDefault="007D69DA" w:rsidP="0087528B">
      <w:pPr>
        <w:rPr>
          <w:b/>
          <w:bCs/>
          <w:color w:val="FF0000"/>
          <w:u w:val="single"/>
        </w:rPr>
      </w:pPr>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0E30927D"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 xml:space="preserve">See grades on the </w:t>
      </w:r>
      <w:proofErr w:type="spellStart"/>
      <w:r w:rsidR="00334DAD">
        <w:rPr>
          <w:b/>
          <w:bCs/>
          <w:sz w:val="22"/>
          <w:szCs w:val="27"/>
        </w:rPr>
        <w:t>myTC</w:t>
      </w:r>
      <w:proofErr w:type="spellEnd"/>
      <w:r w:rsidR="00334DAD">
        <w:rPr>
          <w:b/>
          <w:bCs/>
          <w:sz w:val="22"/>
          <w:szCs w:val="27"/>
        </w:rPr>
        <w:t xml:space="preserve"> portal under the </w:t>
      </w:r>
      <w:r w:rsidR="00814351">
        <w:rPr>
          <w:b/>
          <w:bCs/>
          <w:sz w:val="22"/>
          <w:szCs w:val="27"/>
        </w:rPr>
        <w:t>student</w:t>
      </w:r>
      <w:r w:rsidR="00334DAD">
        <w:rPr>
          <w:b/>
          <w:bCs/>
          <w:sz w:val="22"/>
          <w:szCs w:val="27"/>
        </w:rPr>
        <w:t xml:space="preserve">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2F3D8F9F" w14:textId="77777777" w:rsidR="00A714A2" w:rsidRDefault="00F45F3E">
      <w:pPr>
        <w:rPr>
          <w:rFonts w:cs="Arial"/>
          <w:sz w:val="22"/>
          <w:szCs w:val="22"/>
        </w:rPr>
      </w:pPr>
      <w:r w:rsidRPr="00E57AF1">
        <w:rPr>
          <w:rFonts w:cs="Arial"/>
          <w:sz w:val="22"/>
          <w:szCs w:val="22"/>
        </w:rPr>
        <w:t xml:space="preserve"> Scientific Measurement </w:t>
      </w:r>
    </w:p>
    <w:p w14:paraId="025402E5" w14:textId="3D6247F3" w:rsidR="00F45F3E" w:rsidRPr="00E57AF1" w:rsidRDefault="00A714A2">
      <w:pPr>
        <w:rPr>
          <w:rFonts w:cs="Arial"/>
          <w:sz w:val="22"/>
          <w:szCs w:val="22"/>
        </w:rPr>
      </w:pPr>
      <w:r>
        <w:rPr>
          <w:rFonts w:cs="Arial"/>
          <w:sz w:val="22"/>
          <w:szCs w:val="22"/>
        </w:rPr>
        <w:t xml:space="preserve"> Chemistry of Life</w:t>
      </w:r>
      <w:r w:rsidR="00F45F3E" w:rsidRPr="00E57AF1">
        <w:rPr>
          <w:rFonts w:cs="Arial"/>
          <w:sz w:val="22"/>
          <w:szCs w:val="22"/>
        </w:rPr>
        <w:br/>
        <w:t xml:space="preserve"> The Microscope</w:t>
      </w:r>
      <w:r w:rsidR="00F45F3E" w:rsidRPr="00E57AF1">
        <w:rPr>
          <w:rFonts w:cs="Arial"/>
          <w:sz w:val="22"/>
          <w:szCs w:val="22"/>
        </w:rPr>
        <w:br/>
        <w:t xml:space="preserve"> Intro to Lab Quest &amp; Data Collection and Analysis (Temperature Change of a Solution of Weak Acid and a Weak Base) </w:t>
      </w:r>
      <w:r w:rsidR="00F45F3E" w:rsidRPr="00E57AF1">
        <w:rPr>
          <w:rFonts w:cs="Arial"/>
          <w:sz w:val="22"/>
          <w:szCs w:val="22"/>
        </w:rPr>
        <w:br/>
        <w:t>The Cell</w:t>
      </w:r>
    </w:p>
    <w:p w14:paraId="6BFFB18E" w14:textId="017F6422" w:rsidR="00497395" w:rsidRPr="00E57AF1" w:rsidRDefault="00497395">
      <w:pPr>
        <w:rPr>
          <w:rFonts w:cs="Arial"/>
          <w:b/>
          <w:color w:val="FF0000"/>
          <w:sz w:val="22"/>
          <w:szCs w:val="22"/>
        </w:rPr>
      </w:pPr>
      <w:r w:rsidRPr="00E57AF1">
        <w:rPr>
          <w:rFonts w:cs="Arial"/>
          <w:b/>
          <w:color w:val="FF0000"/>
          <w:sz w:val="22"/>
          <w:szCs w:val="22"/>
        </w:rPr>
        <w:t>Lab Exam I (Unit I)</w:t>
      </w:r>
      <w:r w:rsidR="0021703D">
        <w:rPr>
          <w:rFonts w:cs="Arial"/>
          <w:b/>
          <w:color w:val="FF0000"/>
          <w:sz w:val="22"/>
          <w:szCs w:val="22"/>
        </w:rPr>
        <w:t xml:space="preserve">  (</w:t>
      </w:r>
      <w:r w:rsidR="00A714A2">
        <w:rPr>
          <w:rFonts w:cs="Arial"/>
          <w:b/>
          <w:color w:val="FF0000"/>
          <w:sz w:val="22"/>
          <w:szCs w:val="22"/>
        </w:rPr>
        <w:t xml:space="preserve">~ </w:t>
      </w:r>
      <w:r w:rsidR="0021703D">
        <w:rPr>
          <w:rFonts w:cs="Arial"/>
          <w:b/>
          <w:color w:val="FF0000"/>
          <w:sz w:val="22"/>
          <w:szCs w:val="22"/>
        </w:rPr>
        <w:t xml:space="preserve">Week # </w:t>
      </w:r>
      <w:r w:rsidR="00FD50F2">
        <w:rPr>
          <w:rFonts w:cs="Arial"/>
          <w:b/>
          <w:color w:val="FF0000"/>
          <w:sz w:val="22"/>
          <w:szCs w:val="22"/>
        </w:rPr>
        <w:t>4</w:t>
      </w:r>
      <w:r w:rsidR="0021703D">
        <w:rPr>
          <w:rFonts w:cs="Arial"/>
          <w:b/>
          <w:color w:val="FF0000"/>
          <w:sz w:val="22"/>
          <w:szCs w:val="22"/>
        </w:rPr>
        <w:t xml:space="preserve">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4DC196B7" w14:textId="55994CF7" w:rsidR="00497395" w:rsidRDefault="00497395">
      <w:pPr>
        <w:rPr>
          <w:sz w:val="22"/>
          <w:szCs w:val="22"/>
        </w:rPr>
      </w:pPr>
      <w:r>
        <w:rPr>
          <w:sz w:val="22"/>
          <w:szCs w:val="22"/>
        </w:rPr>
        <w:t xml:space="preserve">Aerobic Cellular Respiration of Yeast </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52A94B1" w:rsidR="00497395" w:rsidRDefault="00497395">
      <w:pPr>
        <w:rPr>
          <w:sz w:val="22"/>
          <w:szCs w:val="22"/>
        </w:rPr>
      </w:pPr>
      <w:r>
        <w:rPr>
          <w:sz w:val="22"/>
          <w:szCs w:val="22"/>
        </w:rPr>
        <w:t>Monohybrid and Dihybrid Crosses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7E9376E4"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r w:rsidR="0021703D">
        <w:rPr>
          <w:b/>
          <w:color w:val="FF0000"/>
          <w:sz w:val="22"/>
          <w:szCs w:val="22"/>
        </w:rPr>
        <w:t xml:space="preserve"> (</w:t>
      </w:r>
      <w:r w:rsidR="00A714A2">
        <w:rPr>
          <w:b/>
          <w:color w:val="FF0000"/>
          <w:sz w:val="22"/>
          <w:szCs w:val="22"/>
        </w:rPr>
        <w:t xml:space="preserve">~ </w:t>
      </w:r>
      <w:r w:rsidR="0021703D">
        <w:rPr>
          <w:b/>
          <w:color w:val="FF0000"/>
          <w:sz w:val="22"/>
          <w:szCs w:val="22"/>
        </w:rPr>
        <w:t xml:space="preserve">Week # </w:t>
      </w:r>
      <w:r w:rsidR="00FD50F2">
        <w:rPr>
          <w:b/>
          <w:color w:val="FF0000"/>
          <w:sz w:val="22"/>
          <w:szCs w:val="22"/>
        </w:rPr>
        <w:t>8</w:t>
      </w:r>
      <w:r w:rsidR="0021703D">
        <w:rPr>
          <w:b/>
          <w:color w:val="FF0000"/>
          <w:sz w:val="22"/>
          <w:szCs w:val="22"/>
        </w:rPr>
        <w:t xml:space="preserve">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w:t>
      </w:r>
      <w:proofErr w:type="spellStart"/>
      <w:r w:rsidR="00D644E7">
        <w:rPr>
          <w:b/>
          <w:bCs/>
        </w:rPr>
        <w:t>myTC</w:t>
      </w:r>
      <w:proofErr w:type="spellEnd"/>
      <w:r w:rsidR="00D644E7">
        <w:rPr>
          <w:b/>
          <w:bCs/>
        </w:rPr>
        <w:t xml:space="preserve">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315077BC" w:rsidR="00613B21" w:rsidRPr="008561F3" w:rsidRDefault="005246B0"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32FF39CB" w:rsidR="00613B21" w:rsidRPr="00A277F8" w:rsidRDefault="00A277F8" w:rsidP="00F22EA9">
            <w:pPr>
              <w:spacing w:line="225" w:lineRule="atLeast"/>
              <w:jc w:val="center"/>
              <w:rPr>
                <w:b/>
                <w:bCs/>
                <w:sz w:val="20"/>
                <w:szCs w:val="20"/>
              </w:rPr>
            </w:pPr>
            <w:r w:rsidRPr="00A277F8">
              <w:rPr>
                <w:b/>
                <w:bCs/>
                <w:sz w:val="20"/>
                <w:szCs w:val="20"/>
              </w:rPr>
              <w:t>All other assignments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8C32EEF" w:rsidR="00613B21" w:rsidRPr="008561F3" w:rsidRDefault="005246B0"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53367DBB" w:rsidR="0066545F" w:rsidRDefault="0066545F" w:rsidP="00613B21">
      <w:pPr>
        <w:rPr>
          <w:b/>
        </w:rPr>
      </w:pPr>
    </w:p>
    <w:p w14:paraId="6C824ADE" w14:textId="5D7F21FB" w:rsidR="007D69DA" w:rsidRDefault="007D69DA" w:rsidP="00613B21">
      <w:pPr>
        <w:rPr>
          <w:b/>
        </w:rPr>
      </w:pPr>
    </w:p>
    <w:p w14:paraId="7147736C" w14:textId="77777777" w:rsidR="007D69DA" w:rsidRDefault="007D69DA"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6A829F2A"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r w:rsidR="00CE26E9" w:rsidRPr="009662DB">
        <w:rPr>
          <w:b/>
          <w:color w:val="FF0000"/>
          <w:u w:val="single"/>
        </w:rPr>
        <w:t>cannot</w:t>
      </w:r>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3E25BE5B" w:rsidR="00B07A20" w:rsidRPr="00333092" w:rsidRDefault="00B07A20" w:rsidP="00B07A20">
      <w:pPr>
        <w:ind w:left="720"/>
        <w:rPr>
          <w:rFonts w:cstheme="minorHAnsi"/>
          <w:b/>
        </w:rPr>
      </w:pPr>
      <w:r w:rsidRPr="00333092">
        <w:rPr>
          <w:rFonts w:cstheme="minorHAnsi"/>
          <w:b/>
        </w:rPr>
        <w:t xml:space="preserve">Withdrawal from a course(s) may affect a student’s current or future financial aid eligibility. Students should consult the Financial Aid Office to learn both </w:t>
      </w:r>
      <w:r w:rsidR="00CE26E9" w:rsidRPr="00333092">
        <w:rPr>
          <w:rFonts w:cstheme="minorHAnsi"/>
          <w:b/>
        </w:rPr>
        <w:t>short- and long-term</w:t>
      </w:r>
      <w:r w:rsidRPr="00333092">
        <w:rPr>
          <w:rFonts w:cstheme="minorHAnsi"/>
          <w:b/>
        </w:rPr>
        <w:t xml:space="preserve">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CB9A125"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3E9B5C37"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FD50F2">
        <w:rPr>
          <w:rFonts w:cstheme="minorHAnsi"/>
          <w:b/>
          <w:u w:val="single"/>
        </w:rPr>
        <w:t>two</w:t>
      </w:r>
      <w:r w:rsidR="00BD224E" w:rsidRPr="00333092">
        <w:rPr>
          <w:rFonts w:cstheme="minorHAnsi"/>
          <w:b/>
          <w:u w:val="single"/>
        </w:rPr>
        <w:t xml:space="preserve"> (</w:t>
      </w:r>
      <w:r w:rsidR="00FD50F2">
        <w:rPr>
          <w:rFonts w:cstheme="minorHAnsi"/>
          <w:b/>
          <w:u w:val="single"/>
        </w:rPr>
        <w:t>2</w:t>
      </w:r>
      <w:r w:rsidRPr="00333092">
        <w:rPr>
          <w:rFonts w:cstheme="minorHAnsi"/>
          <w:b/>
          <w:u w:val="single"/>
        </w:rPr>
        <w:t>) per semester</w:t>
      </w:r>
      <w:r w:rsidR="00FD50F2">
        <w:rPr>
          <w:rFonts w:cstheme="minorHAnsi"/>
          <w:b/>
          <w:u w:val="single"/>
        </w:rPr>
        <w:t>.</w:t>
      </w:r>
    </w:p>
    <w:p w14:paraId="4ADFF5BF" w14:textId="0FFB9733"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 xml:space="preserve">Please Note:  This class begins on time.  If you arrive after the door is closed and up to ten minutes after class has </w:t>
      </w:r>
      <w:r w:rsidR="00CE26E9" w:rsidRPr="00333092">
        <w:rPr>
          <w:rFonts w:cstheme="minorHAnsi"/>
          <w:b/>
          <w:color w:val="FF0000"/>
        </w:rPr>
        <w:t>begun,</w:t>
      </w:r>
      <w:r w:rsidRPr="00333092">
        <w:rPr>
          <w:rFonts w:cstheme="minorHAnsi"/>
          <w:b/>
          <w:color w:val="FF0000"/>
        </w:rPr>
        <w:t xml:space="preserve"> you will be marked tardy.  Three (</w:t>
      </w:r>
      <w:r w:rsidR="00831ECC">
        <w:rPr>
          <w:rFonts w:cstheme="minorHAnsi"/>
          <w:b/>
          <w:color w:val="FF0000"/>
        </w:rPr>
        <w:t>3</w:t>
      </w:r>
      <w:r w:rsidRPr="00333092">
        <w:rPr>
          <w:rFonts w:cstheme="minorHAnsi"/>
          <w:b/>
          <w:color w:val="FF0000"/>
        </w:rPr>
        <w:t>) tardies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 xml:space="preserve">You can view your attendance record on the </w:t>
      </w:r>
      <w:proofErr w:type="spellStart"/>
      <w:r w:rsidRPr="00333092">
        <w:rPr>
          <w:rFonts w:cstheme="minorHAnsi"/>
          <w:b/>
          <w:color w:val="000000"/>
        </w:rPr>
        <w:t>myTC</w:t>
      </w:r>
      <w:proofErr w:type="spellEnd"/>
      <w:r w:rsidRPr="00333092">
        <w:rPr>
          <w:rFonts w:cstheme="minorHAnsi"/>
          <w:b/>
          <w:color w:val="000000"/>
        </w:rPr>
        <w:t xml:space="preserve">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A01B26A"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 xml:space="preserve">There will be a </w:t>
      </w:r>
      <w:r w:rsidR="00CE26E9" w:rsidRPr="00333092">
        <w:rPr>
          <w:rFonts w:cstheme="minorHAnsi"/>
          <w:b/>
          <w:color w:val="000000"/>
          <w:u w:val="single"/>
          <w:shd w:val="clear" w:color="auto" w:fill="FFFFFF"/>
        </w:rPr>
        <w:t>zero-tolerance</w:t>
      </w:r>
      <w:r w:rsidR="002A04D8" w:rsidRPr="00333092">
        <w:rPr>
          <w:rFonts w:cstheme="minorHAns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08B13863" w:rsidR="00333092" w:rsidRDefault="00333092" w:rsidP="00F45F3E">
      <w:pPr>
        <w:rPr>
          <w:rFonts w:cstheme="minorHAnsi"/>
          <w:b/>
        </w:rPr>
      </w:pPr>
    </w:p>
    <w:p w14:paraId="11CCDC59" w14:textId="7B2E0683" w:rsidR="007D69DA" w:rsidRDefault="007D69DA" w:rsidP="00F45F3E">
      <w:pPr>
        <w:rPr>
          <w:rFonts w:cstheme="minorHAnsi"/>
          <w:b/>
        </w:rPr>
      </w:pPr>
    </w:p>
    <w:p w14:paraId="2FBCDB08" w14:textId="77777777" w:rsidR="007D69DA" w:rsidRDefault="007D69DA"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3D28432F"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lusion, or falsification of records will make the student liable for disciplinary action after being investigated by the Dean of Students.</w:t>
      </w:r>
      <w:r w:rsidR="00360506">
        <w:rPr>
          <w:rStyle w:val="A5"/>
          <w:rFonts w:asciiTheme="minorHAnsi" w:hAnsiTheme="minorHAnsi" w:cstheme="minorHAnsi"/>
          <w:sz w:val="24"/>
          <w:szCs w:val="24"/>
        </w:rPr>
        <w:t xml:space="preserve"> </w:t>
      </w:r>
      <w:r w:rsidR="00360506" w:rsidRPr="00360506">
        <w:rPr>
          <w:rStyle w:val="A5"/>
          <w:rFonts w:asciiTheme="minorHAnsi" w:hAnsiTheme="minorHAnsi" w:cstheme="minorHAnsi"/>
          <w:b/>
          <w:bCs/>
          <w:i/>
          <w:iCs/>
          <w:color w:val="FF0000"/>
          <w:sz w:val="24"/>
          <w:szCs w:val="24"/>
        </w:rPr>
        <w:t xml:space="preserve">The use of artificial intelligence powered resources such as Chat GPT or similar platforms may be considered a violation of Academic Integrity and should be avoided! </w:t>
      </w:r>
      <w:r w:rsidRPr="00C13D2A">
        <w:rPr>
          <w:rStyle w:val="A5"/>
          <w:rFonts w:asciiTheme="minorHAnsi" w:hAnsiTheme="minorHAnsi" w:cstheme="minorHAnsi"/>
          <w:sz w:val="24"/>
          <w:szCs w:val="24"/>
        </w:rPr>
        <w:t xml:space="preserve">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3F1BF6FA"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w:t>
      </w:r>
      <w:r w:rsidR="00CE26E9" w:rsidRPr="00641B65">
        <w:rPr>
          <w:rFonts w:eastAsia="Times New Roman" w:cstheme="minorHAnsi"/>
        </w:rPr>
        <w:t>accommodation</w:t>
      </w:r>
      <w:r w:rsidRPr="00641B65">
        <w:rPr>
          <w:rFonts w:eastAsia="Times New Roman" w:cstheme="minorHAnsi"/>
        </w:rPr>
        <w:t xml:space="preserve">, please present it to me so we can discuss the </w:t>
      </w:r>
      <w:r w:rsidR="00CE26E9" w:rsidRPr="00641B65">
        <w:rPr>
          <w:rFonts w:eastAsia="Times New Roman" w:cstheme="minorHAnsi"/>
        </w:rPr>
        <w:t>accommodation</w:t>
      </w:r>
      <w:r w:rsidRPr="00641B65">
        <w:rPr>
          <w:rFonts w:eastAsia="Times New Roman" w:cstheme="minorHAnsi"/>
        </w:rPr>
        <w:t xml:space="preserve">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w:t>
      </w:r>
      <w:r w:rsidR="00CE26E9" w:rsidRPr="00641B65">
        <w:rPr>
          <w:rFonts w:eastAsia="Times New Roman" w:cstheme="minorHAnsi"/>
        </w:rPr>
        <w:t>arrange</w:t>
      </w:r>
      <w:r w:rsidRPr="00641B65">
        <w:rPr>
          <w:rFonts w:eastAsia="Times New Roman" w:cstheme="minorHAnsi"/>
        </w:rPr>
        <w:t xml:space="preserve"> the </w:t>
      </w:r>
      <w:r w:rsidR="00CE26E9" w:rsidRPr="00641B65">
        <w:rPr>
          <w:rFonts w:eastAsia="Times New Roman" w:cstheme="minorHAnsi"/>
        </w:rPr>
        <w:t>accommodation.</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331C2B8B" w14:textId="2DCC6DD7" w:rsidR="00122FB9" w:rsidRPr="007D69DA"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2329B456" w14:textId="7B2B9D17" w:rsidR="00F45F3E" w:rsidRPr="00333092" w:rsidRDefault="00F45F3E" w:rsidP="00FB2318">
      <w:pPr>
        <w:autoSpaceDE w:val="0"/>
        <w:autoSpaceDN w:val="0"/>
        <w:adjustRightInd w:val="0"/>
        <w:rPr>
          <w:rFonts w:eastAsia="Times New Roman" w:cstheme="minorHAnsi"/>
          <w:b/>
          <w:color w:val="000000"/>
          <w:sz w:val="28"/>
        </w:rPr>
      </w:pP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DC0EF" w14:textId="77777777" w:rsidR="00FC088C" w:rsidRDefault="00FC088C" w:rsidP="0087528B">
      <w:r>
        <w:separator/>
      </w:r>
    </w:p>
  </w:endnote>
  <w:endnote w:type="continuationSeparator" w:id="0">
    <w:p w14:paraId="36C20366" w14:textId="77777777" w:rsidR="00FC088C" w:rsidRDefault="00FC088C"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EAA2D" w14:textId="77777777" w:rsidR="00FC088C" w:rsidRDefault="00FC088C" w:rsidP="0087528B">
      <w:r>
        <w:separator/>
      </w:r>
    </w:p>
  </w:footnote>
  <w:footnote w:type="continuationSeparator" w:id="0">
    <w:p w14:paraId="035407FF" w14:textId="77777777" w:rsidR="00FC088C" w:rsidRDefault="00FC088C"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E5E8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19716">
    <w:abstractNumId w:val="0"/>
  </w:num>
  <w:num w:numId="2" w16cid:durableId="96242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1072"/>
    <w:rsid w:val="000B691D"/>
    <w:rsid w:val="000C399D"/>
    <w:rsid w:val="000C5093"/>
    <w:rsid w:val="000F0640"/>
    <w:rsid w:val="000F3B20"/>
    <w:rsid w:val="001055A7"/>
    <w:rsid w:val="00122FB9"/>
    <w:rsid w:val="001439A0"/>
    <w:rsid w:val="00144CFD"/>
    <w:rsid w:val="001669BA"/>
    <w:rsid w:val="001E6BCC"/>
    <w:rsid w:val="0021703D"/>
    <w:rsid w:val="00244CE1"/>
    <w:rsid w:val="00261BC0"/>
    <w:rsid w:val="002634C6"/>
    <w:rsid w:val="00267577"/>
    <w:rsid w:val="00293176"/>
    <w:rsid w:val="002A04D8"/>
    <w:rsid w:val="002F4CF2"/>
    <w:rsid w:val="00333092"/>
    <w:rsid w:val="00334DAD"/>
    <w:rsid w:val="00335642"/>
    <w:rsid w:val="00360506"/>
    <w:rsid w:val="003656DF"/>
    <w:rsid w:val="00377CB3"/>
    <w:rsid w:val="00393623"/>
    <w:rsid w:val="003963E7"/>
    <w:rsid w:val="003C2C75"/>
    <w:rsid w:val="003F01F5"/>
    <w:rsid w:val="00490ECB"/>
    <w:rsid w:val="00497395"/>
    <w:rsid w:val="004B47C4"/>
    <w:rsid w:val="004B59E8"/>
    <w:rsid w:val="00507CD1"/>
    <w:rsid w:val="005246B0"/>
    <w:rsid w:val="005D4D18"/>
    <w:rsid w:val="00613B21"/>
    <w:rsid w:val="0066545F"/>
    <w:rsid w:val="006C417A"/>
    <w:rsid w:val="007926FE"/>
    <w:rsid w:val="007B3DED"/>
    <w:rsid w:val="007D2C9E"/>
    <w:rsid w:val="007D69DA"/>
    <w:rsid w:val="008021AE"/>
    <w:rsid w:val="00814351"/>
    <w:rsid w:val="00814856"/>
    <w:rsid w:val="00831ECC"/>
    <w:rsid w:val="008509EC"/>
    <w:rsid w:val="0087528B"/>
    <w:rsid w:val="00897447"/>
    <w:rsid w:val="008A4DE7"/>
    <w:rsid w:val="008A6947"/>
    <w:rsid w:val="008B48B7"/>
    <w:rsid w:val="008E4CF1"/>
    <w:rsid w:val="008E505C"/>
    <w:rsid w:val="00935748"/>
    <w:rsid w:val="009662DB"/>
    <w:rsid w:val="009B55F1"/>
    <w:rsid w:val="00A04603"/>
    <w:rsid w:val="00A277F8"/>
    <w:rsid w:val="00A45F9E"/>
    <w:rsid w:val="00A60D99"/>
    <w:rsid w:val="00A714A2"/>
    <w:rsid w:val="00A9708B"/>
    <w:rsid w:val="00AA6FAB"/>
    <w:rsid w:val="00B07A20"/>
    <w:rsid w:val="00B16A5F"/>
    <w:rsid w:val="00BA058D"/>
    <w:rsid w:val="00BD224E"/>
    <w:rsid w:val="00BE3723"/>
    <w:rsid w:val="00C13D2A"/>
    <w:rsid w:val="00C42F93"/>
    <w:rsid w:val="00C43A93"/>
    <w:rsid w:val="00C85C6B"/>
    <w:rsid w:val="00CA131F"/>
    <w:rsid w:val="00CE26E9"/>
    <w:rsid w:val="00CE57C5"/>
    <w:rsid w:val="00CF219F"/>
    <w:rsid w:val="00D261F8"/>
    <w:rsid w:val="00D30048"/>
    <w:rsid w:val="00D401EF"/>
    <w:rsid w:val="00D54D7E"/>
    <w:rsid w:val="00D644E7"/>
    <w:rsid w:val="00D85EA2"/>
    <w:rsid w:val="00E03E25"/>
    <w:rsid w:val="00E57AF1"/>
    <w:rsid w:val="00E60033"/>
    <w:rsid w:val="00EA50FA"/>
    <w:rsid w:val="00EE0A8B"/>
    <w:rsid w:val="00EF077A"/>
    <w:rsid w:val="00F279BB"/>
    <w:rsid w:val="00F45F3E"/>
    <w:rsid w:val="00FB2318"/>
    <w:rsid w:val="00FB4229"/>
    <w:rsid w:val="00FC088C"/>
    <w:rsid w:val="00FD50F2"/>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5</cp:revision>
  <cp:lastPrinted>2016-08-20T16:12:00Z</cp:lastPrinted>
  <dcterms:created xsi:type="dcterms:W3CDTF">2024-07-25T17:17:00Z</dcterms:created>
  <dcterms:modified xsi:type="dcterms:W3CDTF">2024-07-25T17:19:00Z</dcterms:modified>
</cp:coreProperties>
</file>