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6253E3">
        <w:rPr>
          <w:b/>
        </w:rPr>
        <w:t>Television Production</w:t>
      </w:r>
      <w:r w:rsidR="004B2CFB">
        <w:t xml:space="preserve"> </w:t>
      </w:r>
      <w:r w:rsidR="004B2CFB">
        <w:br/>
      </w:r>
      <w:r w:rsidR="004B2CFB" w:rsidRPr="00A86C21">
        <w:rPr>
          <w:b/>
        </w:rPr>
        <w:t>Course Number:</w:t>
      </w:r>
      <w:r w:rsidR="004B2CFB">
        <w:t xml:space="preserve">  </w:t>
      </w:r>
      <w:r w:rsidR="00EB3A8F">
        <w:t xml:space="preserve">RTVB </w:t>
      </w:r>
      <w:r w:rsidR="006253E3">
        <w:t>2335</w:t>
      </w:r>
      <w:r w:rsidR="00652DE2">
        <w:t>-TX2-TRA 2015-FA</w:t>
      </w:r>
      <w:r w:rsidR="004B2CFB">
        <w:br/>
      </w:r>
      <w:r w:rsidR="004B2CFB" w:rsidRPr="00A86C21">
        <w:rPr>
          <w:b/>
        </w:rPr>
        <w:t>Semester &amp; Year:</w:t>
      </w:r>
      <w:r w:rsidR="004B2CFB">
        <w:t xml:space="preserve">  Fall 201</w:t>
      </w:r>
      <w:r w:rsidR="00AC7623">
        <w:t>5</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proofErr w:type="gramStart"/>
      <w:r>
        <w:rPr>
          <w:i/>
        </w:rPr>
        <w:t xml:space="preserve">An Introduction to Television </w:t>
      </w:r>
      <w:r w:rsidR="00C26277">
        <w:rPr>
          <w:i/>
        </w:rPr>
        <w:t>Studies</w:t>
      </w:r>
      <w:r w:rsidR="00C26277">
        <w:t>,</w:t>
      </w:r>
      <w:r>
        <w:t xml:space="preserve"> ISBN 9780415598170 3</w:t>
      </w:r>
      <w:r w:rsidRPr="007A6C34">
        <w:rPr>
          <w:vertAlign w:val="superscript"/>
        </w:rPr>
        <w:t>rd</w:t>
      </w:r>
      <w:r>
        <w:t>.</w:t>
      </w:r>
      <w:proofErr w:type="gramEnd"/>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6253E3" w:rsidRPr="006253E3" w:rsidRDefault="006253E3" w:rsidP="005470CA">
      <w:pPr>
        <w:spacing w:beforeLines="1" w:afterLines="1"/>
        <w:rPr>
          <w:rFonts w:ascii="Times" w:hAnsi="Times" w:cs="Times New Roman"/>
          <w:szCs w:val="20"/>
        </w:rPr>
      </w:pPr>
      <w:r w:rsidRPr="006253E3">
        <w:rPr>
          <w:rFonts w:ascii="TwCenMT" w:hAnsi="TwCenMT" w:cs="Times New Roman"/>
          <w:szCs w:val="20"/>
        </w:rPr>
        <w:t xml:space="preserve">In addition to the high school course objectives, this course will focus on pre-production, production, and post- production processes involved in multiple-camera studios. The course will include advanced instruction in camera operation, lighting, audio, and television directing. Students will design and produce video content for location or studio shoots, adhering to deadline and quality control restrictions. </w:t>
      </w:r>
    </w:p>
    <w:p w:rsidR="007E126E" w:rsidRPr="00D07789" w:rsidRDefault="007E126E" w:rsidP="007E126E"/>
    <w:p w:rsidR="007E126E" w:rsidRPr="0049187C" w:rsidRDefault="007E126E" w:rsidP="007E126E">
      <w:pPr>
        <w:rPr>
          <w:b/>
        </w:rPr>
      </w:pPr>
    </w:p>
    <w:p w:rsidR="007E126E" w:rsidRPr="00F60AAB" w:rsidRDefault="007E126E" w:rsidP="007E126E">
      <w:r>
        <w:rPr>
          <w:b/>
        </w:rPr>
        <w:t xml:space="preserve">Prerequisite: </w:t>
      </w:r>
      <w:r w:rsidR="006253E3">
        <w:rPr>
          <w:b/>
        </w:rPr>
        <w:t>RTVB 1321, RTVB 1325</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7E126E"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Default="007E126E" w:rsidP="007E126E">
      <w:pPr>
        <w:widowControl w:val="0"/>
        <w:autoSpaceDE w:val="0"/>
        <w:autoSpaceDN w:val="0"/>
        <w:adjustRightInd w:val="0"/>
        <w:spacing w:after="400"/>
        <w:ind w:left="360"/>
      </w:pPr>
      <w:r>
        <w:t xml:space="preserve">                                        </w:t>
      </w:r>
    </w:p>
    <w:p w:rsidR="00AC7623" w:rsidRDefault="00AC7623" w:rsidP="007E126E">
      <w:pPr>
        <w:rPr>
          <w:b/>
        </w:rPr>
      </w:pPr>
    </w:p>
    <w:p w:rsidR="007E126E" w:rsidRDefault="007E126E" w:rsidP="007E126E">
      <w:pPr>
        <w:rPr>
          <w:b/>
        </w:rPr>
      </w:pPr>
      <w:r w:rsidRPr="00A86C21">
        <w:rPr>
          <w:b/>
        </w:rPr>
        <w:t>Student Requirements for Completion of the Course</w:t>
      </w:r>
      <w:r>
        <w:rPr>
          <w:b/>
        </w:rPr>
        <w:t>:</w:t>
      </w:r>
    </w:p>
    <w:p w:rsidR="007E126E" w:rsidRDefault="00642E8F" w:rsidP="007E126E">
      <w:pPr>
        <w:rPr>
          <w:b/>
        </w:rPr>
      </w:pPr>
      <w:r>
        <w:t xml:space="preserve">Students will produce </w:t>
      </w:r>
      <w:r w:rsidR="00E45D57">
        <w:t>two</w:t>
      </w:r>
      <w:r>
        <w:t xml:space="preserve"> video project</w:t>
      </w:r>
      <w:r w:rsidR="00E45D57">
        <w:t>s</w:t>
      </w:r>
      <w:r>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Default="007E126E" w:rsidP="007E126E">
      <w:pPr>
        <w:rPr>
          <w:b/>
        </w:rPr>
      </w:pPr>
    </w:p>
    <w:p w:rsidR="007E126E" w:rsidRDefault="007E126E" w:rsidP="007E126E">
      <w:pPr>
        <w:rPr>
          <w:b/>
        </w:rPr>
      </w:pP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xml:space="preserve"># </w:t>
            </w:r>
            <w:proofErr w:type="gramStart"/>
            <w:r w:rsidRPr="00A86C21">
              <w:rPr>
                <w:rFonts w:eastAsia="Times New Roman" w:cstheme="minorHAnsi"/>
                <w:b/>
              </w:rPr>
              <w:t>of</w:t>
            </w:r>
            <w:proofErr w:type="gramEnd"/>
            <w:r w:rsidRPr="00A86C21">
              <w:rPr>
                <w:rFonts w:eastAsia="Times New Roman" w:cstheme="minorHAnsi"/>
                <w:b/>
              </w:rPr>
              <w:t xml:space="preserve">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 xml:space="preserve">2 per </w:t>
            </w:r>
            <w:proofErr w:type="gramStart"/>
            <w:r>
              <w:rPr>
                <w:rFonts w:eastAsia="Times New Roman" w:cstheme="minorHAnsi"/>
              </w:rPr>
              <w:t>six week</w:t>
            </w:r>
            <w:proofErr w:type="gramEnd"/>
            <w:r>
              <w:rPr>
                <w:rFonts w:eastAsia="Times New Roman" w:cstheme="minorHAnsi"/>
              </w:rPr>
              <w:t xml:space="preserve"> grading period. Due dates TBA</w:t>
            </w:r>
          </w:p>
          <w:p w:rsidR="00A73882" w:rsidRPr="00A86C21" w:rsidRDefault="00A73882" w:rsidP="007E126E">
            <w:pPr>
              <w:rPr>
                <w:rFonts w:eastAsia="Times New Roman" w:cstheme="minorHAnsi"/>
              </w:rPr>
            </w:pP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50 %</w:t>
            </w:r>
          </w:p>
        </w:tc>
      </w:tr>
      <w:tr w:rsidR="007E126E" w:rsidRPr="00A86C21">
        <w:trPr>
          <w:trHeight w:val="915"/>
          <w:jc w:val="center"/>
        </w:trPr>
        <w:tc>
          <w:tcPr>
            <w:tcW w:w="3430" w:type="dxa"/>
            <w:tcBorders>
              <w:bottom w:val="single" w:sz="4" w:space="0" w:color="auto"/>
            </w:tcBorders>
          </w:tcPr>
          <w:p w:rsidR="007E126E" w:rsidRPr="00A86C21" w:rsidRDefault="007E126E" w:rsidP="007E126E">
            <w:pPr>
              <w:rPr>
                <w:rFonts w:eastAsia="Times New Roman" w:cstheme="minorHAnsi"/>
              </w:rPr>
            </w:pPr>
            <w:r>
              <w:rPr>
                <w:rFonts w:eastAsia="Times New Roman" w:cstheme="minorHAnsi"/>
              </w:rPr>
              <w:t>Daily Assignments</w:t>
            </w:r>
          </w:p>
        </w:tc>
        <w:tc>
          <w:tcPr>
            <w:tcW w:w="1820" w:type="dxa"/>
            <w:tcBorders>
              <w:bottom w:val="single" w:sz="4" w:space="0" w:color="auto"/>
            </w:tcBorders>
          </w:tcPr>
          <w:p w:rsidR="007E126E" w:rsidRPr="00A86C21" w:rsidRDefault="00C26277" w:rsidP="007E126E">
            <w:pPr>
              <w:jc w:val="center"/>
              <w:rPr>
                <w:rFonts w:eastAsia="Times New Roman" w:cstheme="minorHAnsi"/>
              </w:rPr>
            </w:pPr>
            <w:r>
              <w:rPr>
                <w:rFonts w:eastAsia="Times New Roman" w:cstheme="minorHAnsi"/>
              </w:rPr>
              <w:t>5</w:t>
            </w:r>
            <w:r w:rsidR="007E126E">
              <w:rPr>
                <w:rFonts w:eastAsia="Times New Roman" w:cstheme="minorHAnsi"/>
              </w:rPr>
              <w:t>0</w:t>
            </w:r>
            <w:r w:rsidR="007E126E" w:rsidRPr="00A86C21">
              <w:rPr>
                <w:rFonts w:eastAsia="Times New Roman" w:cstheme="minorHAnsi"/>
              </w:rPr>
              <w:t>%</w:t>
            </w:r>
          </w:p>
        </w:tc>
        <w:tc>
          <w:tcPr>
            <w:tcW w:w="1883" w:type="dxa"/>
            <w:tcBorders>
              <w:bottom w:val="single" w:sz="4" w:space="0" w:color="auto"/>
            </w:tcBorders>
          </w:tcPr>
          <w:p w:rsidR="007E126E" w:rsidRDefault="00C26277" w:rsidP="00A73882">
            <w:pPr>
              <w:rPr>
                <w:rFonts w:eastAsia="Times New Roman" w:cstheme="minorHAnsi"/>
              </w:rPr>
            </w:pPr>
            <w:r>
              <w:rPr>
                <w:rFonts w:eastAsia="Times New Roman" w:cstheme="minorHAnsi"/>
              </w:rPr>
              <w:t xml:space="preserve">2 </w:t>
            </w:r>
            <w:proofErr w:type="gramStart"/>
            <w:r>
              <w:rPr>
                <w:rFonts w:eastAsia="Times New Roman" w:cstheme="minorHAnsi"/>
              </w:rPr>
              <w:t xml:space="preserve">video  </w:t>
            </w:r>
            <w:r w:rsidR="007E126E">
              <w:rPr>
                <w:rFonts w:eastAsia="Times New Roman" w:cstheme="minorHAnsi"/>
              </w:rPr>
              <w:t>Assignments</w:t>
            </w:r>
            <w:proofErr w:type="gramEnd"/>
            <w:r>
              <w:rPr>
                <w:rFonts w:eastAsia="Times New Roman" w:cstheme="minorHAnsi"/>
              </w:rPr>
              <w:t xml:space="preserve"> per week.</w:t>
            </w:r>
          </w:p>
          <w:p w:rsidR="00A73882" w:rsidRPr="00A86C21" w:rsidRDefault="00A73882" w:rsidP="00A73882">
            <w:pPr>
              <w:rPr>
                <w:rFonts w:eastAsia="Times New Roman" w:cstheme="minorHAnsi"/>
              </w:rPr>
            </w:pPr>
          </w:p>
        </w:tc>
        <w:tc>
          <w:tcPr>
            <w:tcW w:w="2392" w:type="dxa"/>
            <w:tcBorders>
              <w:bottom w:val="single" w:sz="4" w:space="0" w:color="auto"/>
            </w:tcBorders>
          </w:tcPr>
          <w:p w:rsidR="007E126E" w:rsidRPr="00A86C21" w:rsidRDefault="007E126E" w:rsidP="007E126E">
            <w:pPr>
              <w:jc w:val="center"/>
              <w:rPr>
                <w:rFonts w:eastAsia="Times New Roman" w:cstheme="minorHAnsi"/>
              </w:rPr>
            </w:pPr>
            <w:r>
              <w:rPr>
                <w:rFonts w:eastAsia="Times New Roman" w:cstheme="minorHAnsi"/>
              </w:rPr>
              <w:t>2</w:t>
            </w:r>
            <w:r w:rsidRPr="00A86C21">
              <w:rPr>
                <w:rFonts w:eastAsia="Times New Roman" w:cstheme="minorHAnsi"/>
              </w:rPr>
              <w:t>0 %</w:t>
            </w:r>
          </w:p>
        </w:tc>
      </w:tr>
      <w:tr w:rsidR="00E45D57" w:rsidRPr="00A86C21">
        <w:trPr>
          <w:trHeight w:val="186"/>
          <w:jc w:val="center"/>
        </w:trPr>
        <w:tc>
          <w:tcPr>
            <w:tcW w:w="3430" w:type="dxa"/>
            <w:tcBorders>
              <w:top w:val="single" w:sz="4" w:space="0" w:color="auto"/>
            </w:tcBorders>
          </w:tcPr>
          <w:p w:rsidR="00E45D57" w:rsidRDefault="00E45D57" w:rsidP="007E126E">
            <w:pPr>
              <w:rPr>
                <w:rFonts w:eastAsia="Times New Roman" w:cstheme="minorHAnsi"/>
              </w:rPr>
            </w:pPr>
            <w:r>
              <w:rPr>
                <w:rFonts w:eastAsia="Times New Roman" w:cstheme="minorHAnsi"/>
              </w:rPr>
              <w:t>Portfolio Website</w:t>
            </w:r>
          </w:p>
        </w:tc>
        <w:tc>
          <w:tcPr>
            <w:tcW w:w="1820" w:type="dxa"/>
            <w:tcBorders>
              <w:top w:val="single" w:sz="4" w:space="0" w:color="auto"/>
            </w:tcBorders>
          </w:tcPr>
          <w:p w:rsidR="00E45D57" w:rsidRDefault="00E45D57" w:rsidP="007E126E">
            <w:pPr>
              <w:jc w:val="center"/>
              <w:rPr>
                <w:rFonts w:eastAsia="Times New Roman" w:cstheme="minorHAnsi"/>
              </w:rPr>
            </w:pPr>
          </w:p>
        </w:tc>
        <w:tc>
          <w:tcPr>
            <w:tcW w:w="1883" w:type="dxa"/>
            <w:tcBorders>
              <w:top w:val="single" w:sz="4" w:space="0" w:color="auto"/>
            </w:tcBorders>
          </w:tcPr>
          <w:p w:rsidR="00E45D57" w:rsidRDefault="00E45D57" w:rsidP="00A73882">
            <w:pPr>
              <w:rPr>
                <w:rFonts w:eastAsia="Times New Roman" w:cstheme="minorHAnsi"/>
              </w:rPr>
            </w:pPr>
          </w:p>
        </w:tc>
        <w:tc>
          <w:tcPr>
            <w:tcW w:w="2392" w:type="dxa"/>
            <w:tcBorders>
              <w:top w:val="single" w:sz="4" w:space="0" w:color="auto"/>
            </w:tcBorders>
          </w:tcPr>
          <w:p w:rsidR="00E45D57" w:rsidRDefault="00E45D57" w:rsidP="007E126E">
            <w:pPr>
              <w:jc w:val="center"/>
              <w:rPr>
                <w:rFonts w:eastAsia="Times New Roman" w:cstheme="minorHAnsi"/>
              </w:rPr>
            </w:pPr>
            <w:r>
              <w:rPr>
                <w:rFonts w:eastAsia="Times New Roman" w:cstheme="minorHAnsi"/>
              </w:rPr>
              <w:t>30%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 xml:space="preserve">Grading </w:t>
      </w:r>
      <w:proofErr w:type="gramStart"/>
      <w:r w:rsidRPr="005734D9">
        <w:rPr>
          <w:b/>
        </w:rPr>
        <w:t>Scale</w:t>
      </w:r>
      <w:r>
        <w:rPr>
          <w:b/>
        </w:rPr>
        <w:t xml:space="preserve"> </w:t>
      </w:r>
      <w:r w:rsidR="00466FC9">
        <w:rPr>
          <w:b/>
        </w:rPr>
        <w:t>:</w:t>
      </w:r>
      <w:proofErr w:type="gramEnd"/>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 xml:space="preserve">Texas High School uses the modified block scheduling system. Depending upon your schedule you will be meet for this </w:t>
      </w:r>
      <w:proofErr w:type="gramStart"/>
      <w:r w:rsidRPr="00C26277">
        <w:t>class either</w:t>
      </w:r>
      <w:proofErr w:type="gramEnd"/>
      <w:r w:rsidRPr="00C26277">
        <w:t xml:space="preserve">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E83E26">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F3066"/>
    <w:rsid w:val="00134887"/>
    <w:rsid w:val="001C7E94"/>
    <w:rsid w:val="002D4014"/>
    <w:rsid w:val="002F0E95"/>
    <w:rsid w:val="0032049F"/>
    <w:rsid w:val="0033558D"/>
    <w:rsid w:val="0037068F"/>
    <w:rsid w:val="003B0986"/>
    <w:rsid w:val="00435133"/>
    <w:rsid w:val="00446424"/>
    <w:rsid w:val="00450B6F"/>
    <w:rsid w:val="00466FC9"/>
    <w:rsid w:val="00497212"/>
    <w:rsid w:val="004B2CFB"/>
    <w:rsid w:val="004B3CF0"/>
    <w:rsid w:val="004E11BE"/>
    <w:rsid w:val="004E56FB"/>
    <w:rsid w:val="005365D1"/>
    <w:rsid w:val="00544257"/>
    <w:rsid w:val="005470CA"/>
    <w:rsid w:val="005C0F21"/>
    <w:rsid w:val="006253E3"/>
    <w:rsid w:val="00635A71"/>
    <w:rsid w:val="00642E8F"/>
    <w:rsid w:val="00652DE2"/>
    <w:rsid w:val="00655ED7"/>
    <w:rsid w:val="006607A8"/>
    <w:rsid w:val="00682018"/>
    <w:rsid w:val="006A165B"/>
    <w:rsid w:val="006A793D"/>
    <w:rsid w:val="006B100A"/>
    <w:rsid w:val="006B53A5"/>
    <w:rsid w:val="006B5FA6"/>
    <w:rsid w:val="006C72E8"/>
    <w:rsid w:val="006E17E9"/>
    <w:rsid w:val="00721DA8"/>
    <w:rsid w:val="00750D35"/>
    <w:rsid w:val="00762A1D"/>
    <w:rsid w:val="007A6C34"/>
    <w:rsid w:val="007E126E"/>
    <w:rsid w:val="00813F69"/>
    <w:rsid w:val="00847D2C"/>
    <w:rsid w:val="00850D26"/>
    <w:rsid w:val="00851681"/>
    <w:rsid w:val="0087109D"/>
    <w:rsid w:val="0087271A"/>
    <w:rsid w:val="008907DD"/>
    <w:rsid w:val="00895FE0"/>
    <w:rsid w:val="008C60AF"/>
    <w:rsid w:val="008E5367"/>
    <w:rsid w:val="009076DD"/>
    <w:rsid w:val="009206EF"/>
    <w:rsid w:val="009319C9"/>
    <w:rsid w:val="009A2106"/>
    <w:rsid w:val="009F076D"/>
    <w:rsid w:val="009F3476"/>
    <w:rsid w:val="009F559B"/>
    <w:rsid w:val="009F5626"/>
    <w:rsid w:val="00A26C0F"/>
    <w:rsid w:val="00A42B91"/>
    <w:rsid w:val="00A56BB8"/>
    <w:rsid w:val="00A73882"/>
    <w:rsid w:val="00A86E2D"/>
    <w:rsid w:val="00AA0CE0"/>
    <w:rsid w:val="00AC7623"/>
    <w:rsid w:val="00B040D4"/>
    <w:rsid w:val="00B11DAA"/>
    <w:rsid w:val="00B43FAF"/>
    <w:rsid w:val="00BB4AFA"/>
    <w:rsid w:val="00BD32B7"/>
    <w:rsid w:val="00BD7116"/>
    <w:rsid w:val="00C1505B"/>
    <w:rsid w:val="00C16CA9"/>
    <w:rsid w:val="00C17341"/>
    <w:rsid w:val="00C26277"/>
    <w:rsid w:val="00C4207D"/>
    <w:rsid w:val="00C647E4"/>
    <w:rsid w:val="00C74B92"/>
    <w:rsid w:val="00C90E6F"/>
    <w:rsid w:val="00CC4AA6"/>
    <w:rsid w:val="00D35C13"/>
    <w:rsid w:val="00D62433"/>
    <w:rsid w:val="00D62800"/>
    <w:rsid w:val="00D8222A"/>
    <w:rsid w:val="00D94547"/>
    <w:rsid w:val="00DB0D5E"/>
    <w:rsid w:val="00DE485E"/>
    <w:rsid w:val="00DF5617"/>
    <w:rsid w:val="00E1383A"/>
    <w:rsid w:val="00E45D57"/>
    <w:rsid w:val="00E83E26"/>
    <w:rsid w:val="00EB3A8F"/>
    <w:rsid w:val="00EB596F"/>
    <w:rsid w:val="00ED5F3D"/>
    <w:rsid w:val="00F61B58"/>
    <w:rsid w:val="00F62E4F"/>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011">
      <w:bodyDiv w:val="1"/>
      <w:marLeft w:val="0"/>
      <w:marRight w:val="0"/>
      <w:marTop w:val="0"/>
      <w:marBottom w:val="0"/>
      <w:divBdr>
        <w:top w:val="none" w:sz="0" w:space="0" w:color="auto"/>
        <w:left w:val="none" w:sz="0" w:space="0" w:color="auto"/>
        <w:bottom w:val="none" w:sz="0" w:space="0" w:color="auto"/>
        <w:right w:val="none" w:sz="0" w:space="0" w:color="auto"/>
      </w:divBdr>
      <w:divsChild>
        <w:div w:id="2037845301">
          <w:marLeft w:val="0"/>
          <w:marRight w:val="0"/>
          <w:marTop w:val="0"/>
          <w:marBottom w:val="0"/>
          <w:divBdr>
            <w:top w:val="none" w:sz="0" w:space="0" w:color="auto"/>
            <w:left w:val="none" w:sz="0" w:space="0" w:color="auto"/>
            <w:bottom w:val="none" w:sz="0" w:space="0" w:color="auto"/>
            <w:right w:val="none" w:sz="0" w:space="0" w:color="auto"/>
          </w:divBdr>
          <w:divsChild>
            <w:div w:id="1013145176">
              <w:marLeft w:val="0"/>
              <w:marRight w:val="0"/>
              <w:marTop w:val="0"/>
              <w:marBottom w:val="0"/>
              <w:divBdr>
                <w:top w:val="none" w:sz="0" w:space="0" w:color="auto"/>
                <w:left w:val="none" w:sz="0" w:space="0" w:color="auto"/>
                <w:bottom w:val="none" w:sz="0" w:space="0" w:color="auto"/>
                <w:right w:val="none" w:sz="0" w:space="0" w:color="auto"/>
              </w:divBdr>
              <w:divsChild>
                <w:div w:id="1621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FA4A-66E3-7842-898C-E8D7B113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4457</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 Photo MacBook Pro 2</cp:lastModifiedBy>
  <cp:revision>2</cp:revision>
  <cp:lastPrinted>2012-08-05T21:47:00Z</cp:lastPrinted>
  <dcterms:created xsi:type="dcterms:W3CDTF">2015-08-31T02:42:00Z</dcterms:created>
  <dcterms:modified xsi:type="dcterms:W3CDTF">2015-08-31T02:42:00Z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