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CFB" w:rsidRDefault="004B2CFB" w:rsidP="004B2CFB">
      <w:pPr>
        <w:rPr>
          <w:b/>
        </w:rPr>
      </w:pPr>
    </w:p>
    <w:p w:rsidR="004B2CFB" w:rsidRDefault="004B2CFB" w:rsidP="004B2CFB">
      <w:pPr>
        <w:rPr>
          <w:b/>
        </w:rPr>
      </w:pPr>
    </w:p>
    <w:p w:rsidR="004B2CFB" w:rsidRDefault="004B2CFB" w:rsidP="004B2CFB">
      <w:r w:rsidRPr="00A86C21">
        <w:rPr>
          <w:b/>
        </w:rPr>
        <w:t>Syllabus:</w:t>
      </w:r>
      <w:r w:rsidR="00F73126">
        <w:rPr>
          <w:b/>
        </w:rPr>
        <w:t xml:space="preserve"> </w:t>
      </w:r>
      <w:r w:rsidR="00F73126">
        <w:t>Fundamentals of Math I</w:t>
      </w:r>
      <w:r>
        <w:br/>
      </w:r>
      <w:r w:rsidRPr="00A86C21">
        <w:rPr>
          <w:b/>
        </w:rPr>
        <w:t>Course Number:</w:t>
      </w:r>
      <w:r>
        <w:t xml:space="preserve">  </w:t>
      </w:r>
      <w:r w:rsidR="00FB3FD6">
        <w:t>Math 13</w:t>
      </w:r>
      <w:r w:rsidR="00F73126">
        <w:t>50</w:t>
      </w:r>
    </w:p>
    <w:p w:rsidR="004B2CFB" w:rsidRPr="001773B7" w:rsidRDefault="004B2CFB" w:rsidP="004B2CFB">
      <w:pPr>
        <w:rPr>
          <w:color w:val="FF0000"/>
        </w:rPr>
      </w:pPr>
      <w:r w:rsidRPr="00A86C21">
        <w:rPr>
          <w:b/>
        </w:rPr>
        <w:t>Instructor Information</w:t>
      </w:r>
      <w:r>
        <w:rPr>
          <w:b/>
        </w:rPr>
        <w:t xml:space="preserve"> </w:t>
      </w:r>
    </w:p>
    <w:p w:rsidR="004B2CFB" w:rsidRDefault="004B2CFB" w:rsidP="004B2CFB">
      <w:r>
        <w:tab/>
        <w:t>Name:</w:t>
      </w:r>
      <w:r w:rsidR="00F73126">
        <w:t xml:space="preserve"> Jennifer Klar</w:t>
      </w:r>
      <w:r>
        <w:br/>
      </w:r>
      <w:r>
        <w:tab/>
        <w:t>Telephone:</w:t>
      </w:r>
      <w:r w:rsidR="00F73126">
        <w:t xml:space="preserve"> 903-</w:t>
      </w:r>
      <w:r w:rsidR="001A3E1D">
        <w:t>832-5565</w:t>
      </w:r>
      <w:r w:rsidR="00021600">
        <w:t xml:space="preserve"> and leave a message with Sandy Klar</w:t>
      </w:r>
      <w:r w:rsidR="00F73126">
        <w:t xml:space="preserve"> </w:t>
      </w:r>
      <w:r>
        <w:br/>
      </w:r>
      <w:r>
        <w:tab/>
        <w:t>E-mail:</w:t>
      </w:r>
      <w:r w:rsidR="00FB3FD6">
        <w:t xml:space="preserve"> </w:t>
      </w:r>
      <w:hyperlink r:id="rId9" w:history="1">
        <w:r w:rsidR="00F73126" w:rsidRPr="00EB77E7">
          <w:rPr>
            <w:rStyle w:val="Hyperlink"/>
          </w:rPr>
          <w:t>Jennifer.klar@texarkanacollege.edu</w:t>
        </w:r>
      </w:hyperlink>
      <w:r w:rsidR="00F73126">
        <w:t xml:space="preserve">; </w:t>
      </w:r>
      <w:hyperlink r:id="rId10" w:history="1">
        <w:r w:rsidR="00930D0E" w:rsidRPr="00395B36">
          <w:rPr>
            <w:rStyle w:val="Hyperlink"/>
          </w:rPr>
          <w:t>klarj@txkisd.net</w:t>
        </w:r>
      </w:hyperlink>
    </w:p>
    <w:p w:rsidR="00930D0E" w:rsidRDefault="00930D0E" w:rsidP="004B2CFB"/>
    <w:p w:rsidR="004B2CFB" w:rsidRPr="001773B7" w:rsidRDefault="004B2CFB" w:rsidP="004B2CFB">
      <w:pPr>
        <w:rPr>
          <w:color w:val="FF0000"/>
        </w:rPr>
      </w:pPr>
      <w:r w:rsidRPr="00A86C21">
        <w:rPr>
          <w:b/>
        </w:rPr>
        <w:t>Textbook Information</w:t>
      </w:r>
    </w:p>
    <w:p w:rsidR="004B2CFB" w:rsidRDefault="00F73126" w:rsidP="004B2CFB">
      <w:r>
        <w:t>Fundamentals of Math I Cooperative Learning Packet</w:t>
      </w:r>
    </w:p>
    <w:p w:rsidR="004B2CFB" w:rsidRDefault="004B2CFB" w:rsidP="004B2CFB">
      <w:pPr>
        <w:rPr>
          <w:b/>
        </w:rPr>
      </w:pPr>
      <w:r>
        <w:rPr>
          <w:b/>
        </w:rPr>
        <w:t xml:space="preserve">Student Learning </w:t>
      </w:r>
      <w:r w:rsidR="00B43FAF">
        <w:rPr>
          <w:b/>
        </w:rPr>
        <w:t>Outcomes</w:t>
      </w:r>
      <w:r w:rsidRPr="00A86C21">
        <w:rPr>
          <w:b/>
        </w:rPr>
        <w:t xml:space="preserve"> for the Course</w:t>
      </w:r>
    </w:p>
    <w:p w:rsidR="00DE42BA" w:rsidRPr="00DE42BA" w:rsidRDefault="00DE42BA" w:rsidP="00DE42BA">
      <w:pPr>
        <w:rPr>
          <w:rFonts w:ascii="Times New Roman" w:eastAsia="Times New Roman" w:hAnsi="Times New Roman" w:cs="Times New Roman"/>
          <w:color w:val="000000"/>
        </w:rPr>
      </w:pPr>
      <w:r w:rsidRPr="00DE42BA">
        <w:rPr>
          <w:rFonts w:ascii="Times New Roman" w:eastAsia="Times New Roman" w:hAnsi="Times New Roman" w:cs="Times New Roman"/>
          <w:color w:val="000000"/>
        </w:rPr>
        <w:t>1.  Write descriptive and thorough mathematical explanations in clear, correct and coherent prose.</w:t>
      </w:r>
    </w:p>
    <w:p w:rsidR="00DE42BA" w:rsidRPr="00DE42BA" w:rsidRDefault="00DE42BA" w:rsidP="00DE42BA">
      <w:pPr>
        <w:rPr>
          <w:rFonts w:ascii="Times New Roman" w:eastAsia="Times New Roman" w:hAnsi="Times New Roman" w:cs="Times New Roman"/>
          <w:color w:val="000000"/>
        </w:rPr>
      </w:pPr>
      <w:r w:rsidRPr="00DE42BA">
        <w:rPr>
          <w:rFonts w:ascii="Times New Roman" w:eastAsia="Times New Roman" w:hAnsi="Times New Roman" w:cs="Times New Roman"/>
          <w:color w:val="000000"/>
        </w:rPr>
        <w:t>2.  Communicate orally in clear, coherent and persuasive language.</w:t>
      </w:r>
    </w:p>
    <w:p w:rsidR="00DE42BA" w:rsidRPr="00DE42BA" w:rsidRDefault="00DE42BA" w:rsidP="00DE42BA">
      <w:pPr>
        <w:rPr>
          <w:rFonts w:ascii="Times New Roman" w:eastAsia="Times New Roman" w:hAnsi="Times New Roman" w:cs="Times New Roman"/>
          <w:color w:val="000000"/>
        </w:rPr>
      </w:pPr>
      <w:r w:rsidRPr="00DE42BA">
        <w:rPr>
          <w:rFonts w:ascii="Times New Roman" w:eastAsia="Times New Roman" w:hAnsi="Times New Roman" w:cs="Times New Roman"/>
          <w:color w:val="000000"/>
        </w:rPr>
        <w:t>3.  Read, interpret and describe Texas Essential Knowledge and Skills (TEKS).</w:t>
      </w:r>
    </w:p>
    <w:p w:rsidR="00DE42BA" w:rsidRPr="00DE42BA" w:rsidRDefault="00DE42BA" w:rsidP="00DE42BA">
      <w:pPr>
        <w:rPr>
          <w:rFonts w:ascii="Times New Roman" w:eastAsia="Times New Roman" w:hAnsi="Times New Roman" w:cs="Times New Roman"/>
          <w:color w:val="000000"/>
        </w:rPr>
      </w:pPr>
      <w:r w:rsidRPr="00DE42BA">
        <w:rPr>
          <w:rFonts w:ascii="Times New Roman" w:eastAsia="Times New Roman" w:hAnsi="Times New Roman" w:cs="Times New Roman"/>
          <w:color w:val="000000"/>
        </w:rPr>
        <w:t>4.  Describe/illustrate appropriate and effective uses of manipulatives in mathematical settings.</w:t>
      </w:r>
    </w:p>
    <w:p w:rsidR="00DE42BA" w:rsidRPr="00DE42BA" w:rsidRDefault="00DE42BA" w:rsidP="00DE42BA">
      <w:pPr>
        <w:rPr>
          <w:rFonts w:ascii="Times New Roman" w:eastAsia="Times New Roman" w:hAnsi="Times New Roman" w:cs="Times New Roman"/>
          <w:color w:val="000000"/>
        </w:rPr>
      </w:pPr>
      <w:r w:rsidRPr="00DE42BA">
        <w:rPr>
          <w:rFonts w:ascii="Times New Roman" w:eastAsia="Times New Roman" w:hAnsi="Times New Roman" w:cs="Times New Roman"/>
          <w:color w:val="000000"/>
        </w:rPr>
        <w:t>5.  Describe problem solving process and solve problems using a variety of strategies.</w:t>
      </w:r>
    </w:p>
    <w:p w:rsidR="00DE42BA" w:rsidRPr="00DE42BA" w:rsidRDefault="00DE42BA" w:rsidP="00DE42BA">
      <w:pPr>
        <w:rPr>
          <w:rFonts w:ascii="Times New Roman" w:eastAsia="Times New Roman" w:hAnsi="Times New Roman" w:cs="Times New Roman"/>
          <w:color w:val="000000"/>
        </w:rPr>
      </w:pPr>
      <w:r w:rsidRPr="00DE42BA">
        <w:rPr>
          <w:rFonts w:ascii="Times New Roman" w:eastAsia="Times New Roman" w:hAnsi="Times New Roman" w:cs="Times New Roman"/>
          <w:color w:val="000000"/>
        </w:rPr>
        <w:t>6.  Describe patterns in the real world and solve problems involving pattern recognition.</w:t>
      </w:r>
    </w:p>
    <w:p w:rsidR="00DE42BA" w:rsidRPr="00DE42BA" w:rsidRDefault="00DE42BA" w:rsidP="00DE42BA">
      <w:pPr>
        <w:rPr>
          <w:rFonts w:ascii="Times New Roman" w:eastAsia="Times New Roman" w:hAnsi="Times New Roman" w:cs="Times New Roman"/>
          <w:color w:val="000000"/>
        </w:rPr>
      </w:pPr>
      <w:r w:rsidRPr="00DE42BA">
        <w:rPr>
          <w:rFonts w:ascii="Times New Roman" w:eastAsia="Times New Roman" w:hAnsi="Times New Roman" w:cs="Times New Roman"/>
          <w:color w:val="000000"/>
        </w:rPr>
        <w:t>7.  Apply deductive reasoning.</w:t>
      </w:r>
    </w:p>
    <w:p w:rsidR="00DE42BA" w:rsidRPr="00DE42BA" w:rsidRDefault="00DE42BA" w:rsidP="00DE42BA">
      <w:pPr>
        <w:rPr>
          <w:rFonts w:ascii="Times New Roman" w:eastAsia="Times New Roman" w:hAnsi="Times New Roman" w:cs="Times New Roman"/>
          <w:color w:val="000000"/>
        </w:rPr>
      </w:pPr>
      <w:r w:rsidRPr="00DE42BA">
        <w:rPr>
          <w:rFonts w:ascii="Times New Roman" w:eastAsia="Times New Roman" w:hAnsi="Times New Roman" w:cs="Times New Roman"/>
          <w:color w:val="000000"/>
        </w:rPr>
        <w:t>8.  Apply basic concepts of set theory.</w:t>
      </w:r>
    </w:p>
    <w:p w:rsidR="00DE42BA" w:rsidRPr="00DE42BA" w:rsidRDefault="00DE42BA" w:rsidP="00DE42BA">
      <w:pPr>
        <w:rPr>
          <w:rFonts w:ascii="Times New Roman" w:eastAsia="Times New Roman" w:hAnsi="Times New Roman" w:cs="Times New Roman"/>
          <w:color w:val="000000"/>
        </w:rPr>
      </w:pPr>
      <w:r w:rsidRPr="00DE42BA">
        <w:rPr>
          <w:rFonts w:ascii="Times New Roman" w:eastAsia="Times New Roman" w:hAnsi="Times New Roman" w:cs="Times New Roman"/>
          <w:color w:val="000000"/>
        </w:rPr>
        <w:t>9.  Recognize multiple models for representing basic mathematical operations.</w:t>
      </w:r>
    </w:p>
    <w:p w:rsidR="00DE42BA" w:rsidRPr="00DE42BA" w:rsidRDefault="00DE42BA" w:rsidP="00DE42BA">
      <w:pPr>
        <w:rPr>
          <w:rFonts w:ascii="Times New Roman" w:eastAsia="Times New Roman" w:hAnsi="Times New Roman" w:cs="Times New Roman"/>
          <w:color w:val="000000"/>
        </w:rPr>
      </w:pPr>
      <w:r w:rsidRPr="00DE42BA">
        <w:rPr>
          <w:rFonts w:ascii="Times New Roman" w:eastAsia="Times New Roman" w:hAnsi="Times New Roman" w:cs="Times New Roman"/>
          <w:color w:val="000000"/>
        </w:rPr>
        <w:t>10.  Apply mental math techniques in problem solving situations.</w:t>
      </w:r>
    </w:p>
    <w:p w:rsidR="00DE42BA" w:rsidRPr="00DE42BA" w:rsidRDefault="00DE42BA" w:rsidP="00DE42BA">
      <w:pPr>
        <w:rPr>
          <w:rFonts w:ascii="Times New Roman" w:eastAsia="Times New Roman" w:hAnsi="Times New Roman" w:cs="Times New Roman"/>
          <w:color w:val="000000"/>
        </w:rPr>
      </w:pPr>
      <w:r w:rsidRPr="00DE42BA">
        <w:rPr>
          <w:rFonts w:ascii="Times New Roman" w:eastAsia="Times New Roman" w:hAnsi="Times New Roman" w:cs="Times New Roman"/>
          <w:color w:val="000000"/>
        </w:rPr>
        <w:t>11.  Work fluently with place value situations including base ten and other base systems in concrete, pictorial and abstract settings.</w:t>
      </w:r>
    </w:p>
    <w:p w:rsidR="00DE42BA" w:rsidRPr="00DE42BA" w:rsidRDefault="00DE42BA" w:rsidP="00DE42BA">
      <w:pPr>
        <w:rPr>
          <w:rFonts w:ascii="Times New Roman" w:eastAsia="Times New Roman" w:hAnsi="Times New Roman" w:cs="Times New Roman"/>
          <w:color w:val="000000"/>
        </w:rPr>
      </w:pPr>
      <w:r w:rsidRPr="00DE42BA">
        <w:rPr>
          <w:rFonts w:ascii="Times New Roman" w:eastAsia="Times New Roman" w:hAnsi="Times New Roman" w:cs="Times New Roman"/>
          <w:color w:val="000000"/>
        </w:rPr>
        <w:t>12.  Apply number theory concepts in problem solving situations.</w:t>
      </w:r>
    </w:p>
    <w:p w:rsidR="00DE42BA" w:rsidRPr="00DE42BA" w:rsidRDefault="00DE42BA" w:rsidP="00DE42BA">
      <w:pPr>
        <w:rPr>
          <w:rFonts w:ascii="Times New Roman" w:eastAsia="Times New Roman" w:hAnsi="Times New Roman" w:cs="Times New Roman"/>
          <w:color w:val="000000"/>
        </w:rPr>
      </w:pPr>
      <w:r w:rsidRPr="00DE42BA">
        <w:rPr>
          <w:rFonts w:ascii="Times New Roman" w:eastAsia="Times New Roman" w:hAnsi="Times New Roman" w:cs="Times New Roman"/>
          <w:color w:val="000000"/>
        </w:rPr>
        <w:t>13.  Work fluently with concrete/pictorial representations of integers and apply integer concepts in problem solving situations.</w:t>
      </w:r>
    </w:p>
    <w:p w:rsidR="00DE42BA" w:rsidRPr="00DE42BA" w:rsidRDefault="00DE42BA" w:rsidP="00DE42BA">
      <w:pPr>
        <w:rPr>
          <w:rFonts w:ascii="Times New Roman" w:eastAsia="Times New Roman" w:hAnsi="Times New Roman" w:cs="Times New Roman"/>
          <w:color w:val="000000"/>
        </w:rPr>
      </w:pPr>
      <w:r w:rsidRPr="00DE42BA">
        <w:rPr>
          <w:rFonts w:ascii="Times New Roman" w:eastAsia="Times New Roman" w:hAnsi="Times New Roman" w:cs="Times New Roman"/>
          <w:color w:val="000000"/>
        </w:rPr>
        <w:t>14.  Work fluently with concrete/pictorial representations of fractions, decimals, and percents and apply these concepts in problem solving situations.</w:t>
      </w:r>
    </w:p>
    <w:p w:rsidR="00205033" w:rsidRPr="00205033" w:rsidRDefault="00205033" w:rsidP="00205033">
      <w:pPr>
        <w:pStyle w:val="ListParagraph"/>
        <w:rPr>
          <w:rFonts w:ascii="Times New Roman" w:eastAsia="Calibri" w:hAnsi="Times New Roman" w:cs="Times New Roman"/>
        </w:rPr>
      </w:pPr>
    </w:p>
    <w:p w:rsidR="004B2CFB" w:rsidRPr="00A86C21" w:rsidRDefault="004B2CFB" w:rsidP="004B2CFB">
      <w:pPr>
        <w:rPr>
          <w:b/>
        </w:rPr>
      </w:pPr>
      <w:r w:rsidRPr="00A86C21">
        <w:rPr>
          <w:b/>
        </w:rPr>
        <w:t>Student Requirements for Completion of the Course and Due Dates</w:t>
      </w:r>
    </w:p>
    <w:p w:rsidR="00F73126" w:rsidRPr="00F73126" w:rsidRDefault="00F73126" w:rsidP="00021600">
      <w:pPr>
        <w:pStyle w:val="ListParagraph"/>
        <w:numPr>
          <w:ilvl w:val="0"/>
          <w:numId w:val="4"/>
        </w:numPr>
        <w:rPr>
          <w:rFonts w:asciiTheme="majorHAnsi" w:hAnsiTheme="majorHAnsi"/>
          <w:u w:val="single"/>
        </w:rPr>
      </w:pPr>
      <w:r w:rsidRPr="00F73126">
        <w:rPr>
          <w:rFonts w:asciiTheme="majorHAnsi" w:hAnsiTheme="majorHAnsi"/>
        </w:rPr>
        <w:t xml:space="preserve">There will be at least 5 major tests. The final will be the last major exam (not comprehensive). </w:t>
      </w:r>
      <w:r w:rsidRPr="00F73126">
        <w:rPr>
          <w:rFonts w:asciiTheme="majorHAnsi" w:hAnsiTheme="majorHAnsi"/>
          <w:b/>
        </w:rPr>
        <w:t xml:space="preserve">Mastery indicated by a grade of 70 or higher is required on each unit test to receive credit for the course. Limit: 2 test attempts per unit. If at any time a student does not achieve mastery for a unit after two test attempts, then the student has two options: 1) drop from the course or 2) continue with the course but receive a grade of F. </w:t>
      </w:r>
      <w:r w:rsidRPr="00F73126">
        <w:rPr>
          <w:rFonts w:asciiTheme="majorHAnsi" w:hAnsiTheme="majorHAnsi"/>
        </w:rPr>
        <w:t xml:space="preserve">Any unit test scored lower than 70 will require a retake of that unit test. Anyone may retake an exam to attempt to raise their grade. </w:t>
      </w:r>
      <w:r w:rsidRPr="00F73126">
        <w:rPr>
          <w:rFonts w:asciiTheme="majorHAnsi" w:hAnsiTheme="majorHAnsi"/>
          <w:u w:val="single"/>
        </w:rPr>
        <w:t xml:space="preserve">Once mastery has been achieved the actual grade recorded will be the average of the two test scores. </w:t>
      </w:r>
    </w:p>
    <w:p w:rsidR="00021600" w:rsidRPr="00DE42BA" w:rsidRDefault="00F73126" w:rsidP="00021600">
      <w:pPr>
        <w:pStyle w:val="ListParagraph"/>
        <w:numPr>
          <w:ilvl w:val="0"/>
          <w:numId w:val="4"/>
        </w:numPr>
        <w:rPr>
          <w:rFonts w:asciiTheme="majorHAnsi" w:hAnsiTheme="majorHAnsi"/>
          <w:u w:val="single"/>
        </w:rPr>
      </w:pPr>
      <w:r w:rsidRPr="00F73126">
        <w:rPr>
          <w:rFonts w:asciiTheme="majorHAnsi" w:hAnsiTheme="majorHAnsi"/>
        </w:rPr>
        <w:t xml:space="preserve">Mastery means that there is no such thing as averaging out a high score on one topic with an unacceptably low score on another topic. Inevitably teachers will be called upon to work with topics within and even beyond their specific </w:t>
      </w:r>
      <w:r w:rsidRPr="00F73126">
        <w:rPr>
          <w:rFonts w:asciiTheme="majorHAnsi" w:hAnsiTheme="majorHAnsi"/>
        </w:rPr>
        <w:lastRenderedPageBreak/>
        <w:t>training. What is the professional teacher’s response? To say, “Sorry, I didn’t master that unit or we didn’t cover that, you will have to ask another teacher”?? Certainly not!! Because a teacher must be competent in all of the topics to be taught, each student must master each major content area with a grade of 70 or above on the exams.</w:t>
      </w:r>
    </w:p>
    <w:p w:rsidR="00F73126" w:rsidRPr="00F73126" w:rsidRDefault="00F73126" w:rsidP="00021600">
      <w:pPr>
        <w:pStyle w:val="ListParagraph"/>
        <w:numPr>
          <w:ilvl w:val="0"/>
          <w:numId w:val="4"/>
        </w:numPr>
        <w:spacing w:before="100" w:beforeAutospacing="1" w:after="100" w:afterAutospacing="1"/>
        <w:rPr>
          <w:b/>
        </w:rPr>
      </w:pPr>
      <w:r w:rsidRPr="00F73126">
        <w:rPr>
          <w:rFonts w:asciiTheme="majorHAnsi" w:hAnsiTheme="majorHAnsi"/>
        </w:rPr>
        <w:t>Tentative test dates will be given later. Some formulas provided by instructor on</w:t>
      </w:r>
    </w:p>
    <w:p w:rsidR="00F73126" w:rsidRPr="00F73126" w:rsidRDefault="00F73126" w:rsidP="00021600">
      <w:pPr>
        <w:pStyle w:val="ListParagraph"/>
        <w:spacing w:before="100" w:beforeAutospacing="1" w:after="100" w:afterAutospacing="1"/>
        <w:rPr>
          <w:b/>
        </w:rPr>
      </w:pPr>
      <w:r w:rsidRPr="00F73126">
        <w:rPr>
          <w:rFonts w:asciiTheme="majorHAnsi" w:hAnsiTheme="majorHAnsi"/>
        </w:rPr>
        <w:t xml:space="preserve"> </w:t>
      </w:r>
      <w:proofErr w:type="gramStart"/>
      <w:r w:rsidRPr="00F73126">
        <w:rPr>
          <w:rFonts w:asciiTheme="majorHAnsi" w:hAnsiTheme="majorHAnsi"/>
        </w:rPr>
        <w:t>tests</w:t>
      </w:r>
      <w:proofErr w:type="gramEnd"/>
      <w:r w:rsidRPr="00F73126">
        <w:rPr>
          <w:rFonts w:asciiTheme="majorHAnsi" w:hAnsiTheme="majorHAnsi"/>
        </w:rPr>
        <w:t>. Some tests will be given in the testing center</w:t>
      </w:r>
      <w:r w:rsidR="00930D0E">
        <w:rPr>
          <w:rFonts w:asciiTheme="majorHAnsi" w:hAnsiTheme="majorHAnsi"/>
        </w:rPr>
        <w:t xml:space="preserve"> and some will be sent home to complete independently</w:t>
      </w:r>
      <w:r w:rsidRPr="00F73126">
        <w:rPr>
          <w:rFonts w:asciiTheme="majorHAnsi" w:hAnsiTheme="majorHAnsi"/>
        </w:rPr>
        <w:t>. The Testing Center policy on</w:t>
      </w:r>
    </w:p>
    <w:p w:rsidR="00F73126" w:rsidRPr="00F73126" w:rsidRDefault="00F73126" w:rsidP="00021600">
      <w:pPr>
        <w:pStyle w:val="ListParagraph"/>
        <w:spacing w:before="100" w:beforeAutospacing="1" w:after="100" w:afterAutospacing="1"/>
        <w:rPr>
          <w:b/>
        </w:rPr>
      </w:pPr>
      <w:r w:rsidRPr="00F73126">
        <w:rPr>
          <w:rFonts w:asciiTheme="majorHAnsi" w:hAnsiTheme="majorHAnsi"/>
        </w:rPr>
        <w:t xml:space="preserve"> </w:t>
      </w:r>
      <w:proofErr w:type="gramStart"/>
      <w:r w:rsidRPr="00F73126">
        <w:rPr>
          <w:rFonts w:asciiTheme="majorHAnsi" w:hAnsiTheme="majorHAnsi"/>
        </w:rPr>
        <w:t>cheating</w:t>
      </w:r>
      <w:proofErr w:type="gramEnd"/>
      <w:r w:rsidRPr="00F73126">
        <w:rPr>
          <w:rFonts w:asciiTheme="majorHAnsi" w:hAnsiTheme="majorHAnsi"/>
        </w:rPr>
        <w:t xml:space="preserve"> states that any student caught cheating in the testing center will be dropped from the course with an F. This policy is strictly adhered to – NO EXCEPTIONS. </w:t>
      </w:r>
    </w:p>
    <w:p w:rsidR="004B2CFB" w:rsidRDefault="004B2CFB" w:rsidP="004B2CFB">
      <w:pPr>
        <w:rPr>
          <w:b/>
        </w:rPr>
      </w:pPr>
      <w:r w:rsidRPr="00A86C21">
        <w:rPr>
          <w:b/>
        </w:rPr>
        <w:t>Student Assessment</w:t>
      </w:r>
      <w:r>
        <w:rPr>
          <w:b/>
        </w:rPr>
        <w:t xml:space="preserve"> (state how you are going to determine their course grade)</w:t>
      </w:r>
    </w:p>
    <w:p w:rsidR="00BD7116" w:rsidRDefault="00F73126" w:rsidP="00E21442">
      <w:pPr>
        <w:ind w:firstLine="720"/>
      </w:pPr>
      <w:r>
        <w:t>Chapter Tests Average – 50%</w:t>
      </w:r>
    </w:p>
    <w:p w:rsidR="00F73126" w:rsidRDefault="00F73126" w:rsidP="00E21442">
      <w:pPr>
        <w:ind w:firstLine="720"/>
      </w:pPr>
      <w:r>
        <w:t>Project Average – 30%</w:t>
      </w:r>
    </w:p>
    <w:p w:rsidR="00F73126" w:rsidRPr="004044B9" w:rsidRDefault="00F73126" w:rsidP="001A3E1D">
      <w:pPr>
        <w:ind w:firstLine="720"/>
      </w:pPr>
      <w:r>
        <w:t>Portfolio</w:t>
      </w:r>
      <w:r w:rsidR="001A3E1D">
        <w:t xml:space="preserve"> &amp; In-Class Activity Average – 2</w:t>
      </w:r>
      <w:r>
        <w:t>0%</w:t>
      </w:r>
    </w:p>
    <w:p w:rsidR="00BD7116" w:rsidRDefault="00BD7116" w:rsidP="004B2CFB">
      <w:pPr>
        <w:rPr>
          <w:b/>
        </w:rPr>
      </w:pPr>
    </w:p>
    <w:p w:rsidR="00BD7116" w:rsidRDefault="00BD7116" w:rsidP="004B2CFB">
      <w:pPr>
        <w:rPr>
          <w:b/>
        </w:rPr>
      </w:pPr>
    </w:p>
    <w:p w:rsidR="00BD7116" w:rsidRDefault="004B2CFB" w:rsidP="004B2CFB">
      <w:pPr>
        <w:rPr>
          <w:b/>
        </w:rPr>
      </w:pPr>
      <w:r w:rsidRPr="005734D9">
        <w:rPr>
          <w:b/>
        </w:rPr>
        <w:t>Grading Scale</w:t>
      </w:r>
      <w:r>
        <w:rPr>
          <w:b/>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1064"/>
        <w:gridCol w:w="453"/>
        <w:gridCol w:w="1167"/>
        <w:gridCol w:w="360"/>
        <w:gridCol w:w="1170"/>
        <w:gridCol w:w="360"/>
        <w:gridCol w:w="1080"/>
        <w:gridCol w:w="360"/>
        <w:gridCol w:w="1260"/>
      </w:tblGrid>
      <w:tr w:rsidR="00E21442" w:rsidRPr="005734D9" w:rsidTr="00286709">
        <w:tc>
          <w:tcPr>
            <w:tcW w:w="484" w:type="dxa"/>
            <w:tcBorders>
              <w:right w:val="nil"/>
            </w:tcBorders>
            <w:vAlign w:val="center"/>
          </w:tcPr>
          <w:p w:rsidR="00E21442" w:rsidRPr="005734D9" w:rsidRDefault="00E21442" w:rsidP="00286709">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A</w:t>
            </w:r>
          </w:p>
        </w:tc>
        <w:tc>
          <w:tcPr>
            <w:tcW w:w="1064" w:type="dxa"/>
            <w:tcBorders>
              <w:left w:val="nil"/>
            </w:tcBorders>
            <w:vAlign w:val="center"/>
          </w:tcPr>
          <w:p w:rsidR="00E21442" w:rsidRPr="005734D9" w:rsidRDefault="00E21442" w:rsidP="00286709">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c>
          <w:tcPr>
            <w:tcW w:w="453" w:type="dxa"/>
            <w:tcBorders>
              <w:right w:val="nil"/>
            </w:tcBorders>
            <w:vAlign w:val="center"/>
          </w:tcPr>
          <w:p w:rsidR="00E21442" w:rsidRPr="005734D9" w:rsidRDefault="00E21442" w:rsidP="00286709">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B</w:t>
            </w:r>
          </w:p>
        </w:tc>
        <w:tc>
          <w:tcPr>
            <w:tcW w:w="1167" w:type="dxa"/>
            <w:tcBorders>
              <w:left w:val="nil"/>
            </w:tcBorders>
            <w:vAlign w:val="center"/>
          </w:tcPr>
          <w:p w:rsidR="00E21442" w:rsidRPr="005734D9" w:rsidRDefault="00E21442" w:rsidP="00286709">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c>
          <w:tcPr>
            <w:tcW w:w="360" w:type="dxa"/>
            <w:tcBorders>
              <w:right w:val="nil"/>
            </w:tcBorders>
            <w:vAlign w:val="center"/>
          </w:tcPr>
          <w:p w:rsidR="00E21442" w:rsidRPr="005734D9" w:rsidRDefault="00E21442" w:rsidP="00286709">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C</w:t>
            </w:r>
          </w:p>
        </w:tc>
        <w:tc>
          <w:tcPr>
            <w:tcW w:w="1170" w:type="dxa"/>
            <w:tcBorders>
              <w:left w:val="nil"/>
            </w:tcBorders>
            <w:vAlign w:val="center"/>
          </w:tcPr>
          <w:p w:rsidR="00E21442" w:rsidRPr="005734D9" w:rsidRDefault="00E21442" w:rsidP="00286709">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c>
          <w:tcPr>
            <w:tcW w:w="360" w:type="dxa"/>
            <w:tcBorders>
              <w:right w:val="nil"/>
            </w:tcBorders>
            <w:vAlign w:val="center"/>
          </w:tcPr>
          <w:p w:rsidR="00E21442" w:rsidRPr="005734D9" w:rsidRDefault="00E21442" w:rsidP="00286709">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D</w:t>
            </w:r>
          </w:p>
        </w:tc>
        <w:tc>
          <w:tcPr>
            <w:tcW w:w="1080" w:type="dxa"/>
            <w:tcBorders>
              <w:left w:val="nil"/>
            </w:tcBorders>
            <w:vAlign w:val="center"/>
          </w:tcPr>
          <w:p w:rsidR="00E21442" w:rsidRPr="005734D9" w:rsidRDefault="00E21442" w:rsidP="00286709">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c>
          <w:tcPr>
            <w:tcW w:w="360" w:type="dxa"/>
            <w:tcBorders>
              <w:right w:val="nil"/>
            </w:tcBorders>
            <w:vAlign w:val="center"/>
          </w:tcPr>
          <w:p w:rsidR="00E21442" w:rsidRPr="005734D9" w:rsidRDefault="00E21442" w:rsidP="00286709">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F</w:t>
            </w:r>
          </w:p>
        </w:tc>
        <w:tc>
          <w:tcPr>
            <w:tcW w:w="1260" w:type="dxa"/>
            <w:tcBorders>
              <w:left w:val="nil"/>
            </w:tcBorders>
            <w:vAlign w:val="center"/>
          </w:tcPr>
          <w:p w:rsidR="00E21442" w:rsidRPr="005734D9" w:rsidRDefault="00E21442" w:rsidP="00286709">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rsidR="00E21442" w:rsidRPr="00E21442" w:rsidRDefault="00E21442" w:rsidP="004B2CFB"/>
    <w:p w:rsidR="004B2CFB" w:rsidRDefault="004B2CFB" w:rsidP="004B2CFB">
      <w:r>
        <w:rPr>
          <w:b/>
        </w:rPr>
        <w:t xml:space="preserve">Class Schedule </w:t>
      </w:r>
    </w:p>
    <w:p w:rsidR="00E21442" w:rsidRPr="00390DC0" w:rsidRDefault="00E21442" w:rsidP="00E21442">
      <w:pPr>
        <w:ind w:firstLine="720"/>
      </w:pPr>
      <w:r w:rsidRPr="00390DC0">
        <w:t xml:space="preserve">See </w:t>
      </w:r>
      <w:r>
        <w:t xml:space="preserve">separate </w:t>
      </w:r>
      <w:r w:rsidRPr="00390DC0">
        <w:t>Schedule</w:t>
      </w:r>
      <w:r>
        <w:t>.</w:t>
      </w:r>
    </w:p>
    <w:p w:rsidR="00E21442" w:rsidRDefault="00E21442" w:rsidP="004B2CFB">
      <w:pPr>
        <w:rPr>
          <w:b/>
        </w:rPr>
      </w:pPr>
    </w:p>
    <w:p w:rsidR="00E21442" w:rsidRDefault="00E21442" w:rsidP="004B2CFB">
      <w:pPr>
        <w:rPr>
          <w:b/>
        </w:rPr>
      </w:pPr>
    </w:p>
    <w:p w:rsidR="004B2CFB" w:rsidRDefault="004B2CFB" w:rsidP="00BD7116">
      <w:pPr>
        <w:rPr>
          <w:b/>
          <w:color w:val="FF0000"/>
        </w:rPr>
      </w:pPr>
      <w:r>
        <w:rPr>
          <w:b/>
        </w:rPr>
        <w:t xml:space="preserve">Attendance Policy </w:t>
      </w:r>
    </w:p>
    <w:p w:rsidR="00F73126" w:rsidRPr="00021600" w:rsidRDefault="00F73126" w:rsidP="00021600">
      <w:pPr>
        <w:pStyle w:val="ListParagraph"/>
      </w:pPr>
      <w:r w:rsidRPr="00F73126">
        <w:rPr>
          <w:rFonts w:asciiTheme="majorHAnsi" w:hAnsiTheme="majorHAnsi"/>
        </w:rPr>
        <w:t xml:space="preserve">Attendance, punctuality, and participation are very important. </w:t>
      </w:r>
      <w:proofErr w:type="gramStart"/>
      <w:r w:rsidRPr="00F73126">
        <w:rPr>
          <w:rFonts w:asciiTheme="majorHAnsi" w:hAnsiTheme="majorHAnsi"/>
        </w:rPr>
        <w:t xml:space="preserve">Three (3) </w:t>
      </w:r>
      <w:proofErr w:type="spellStart"/>
      <w:r w:rsidRPr="00F73126">
        <w:rPr>
          <w:rFonts w:asciiTheme="majorHAnsi" w:hAnsiTheme="majorHAnsi"/>
        </w:rPr>
        <w:t>tardies</w:t>
      </w:r>
      <w:proofErr w:type="spellEnd"/>
      <w:r w:rsidRPr="00F73126">
        <w:rPr>
          <w:rFonts w:asciiTheme="majorHAnsi" w:hAnsiTheme="majorHAnsi"/>
        </w:rPr>
        <w:t xml:space="preserve"> counts as one (1) absence.</w:t>
      </w:r>
      <w:proofErr w:type="gramEnd"/>
      <w:r w:rsidRPr="00F73126">
        <w:rPr>
          <w:rFonts w:asciiTheme="majorHAnsi" w:hAnsiTheme="majorHAnsi"/>
        </w:rPr>
        <w:t xml:space="preserve"> Arriving late (i.e. before the scheduled end of the period or dismissal by the instructor) or leaving class early counts as a tardy. If it is absolutely necessary for you to arrive late or leave early, please inform the instructor in advance and be careful to arrive and/or leave discreetly. Students may be dropped after 6 absences on MWF, and 4 absences on TTH in accordance with the college attendance policy</w:t>
      </w:r>
      <w:r w:rsidR="00E21442">
        <w:t>.</w:t>
      </w:r>
      <w:r w:rsidR="00E21442" w:rsidRPr="00F73126">
        <w:rPr>
          <w:b/>
          <w:color w:val="FF0000"/>
        </w:rPr>
        <w:br/>
      </w:r>
    </w:p>
    <w:p w:rsidR="004B2CFB" w:rsidRPr="001773B7" w:rsidRDefault="004B2CFB" w:rsidP="004B2CFB">
      <w:pPr>
        <w:rPr>
          <w:b/>
          <w:color w:val="FF0000"/>
        </w:rPr>
      </w:pPr>
      <w:r w:rsidRPr="005734D9">
        <w:rPr>
          <w:b/>
        </w:rPr>
        <w:t>Make-up Policy</w:t>
      </w:r>
      <w:r>
        <w:rPr>
          <w:b/>
        </w:rPr>
        <w:t xml:space="preserve"> </w:t>
      </w:r>
    </w:p>
    <w:p w:rsidR="00021600" w:rsidRPr="00F73126" w:rsidRDefault="00021600" w:rsidP="00021600">
      <w:pPr>
        <w:pStyle w:val="ListParagraph"/>
        <w:numPr>
          <w:ilvl w:val="0"/>
          <w:numId w:val="3"/>
        </w:numPr>
        <w:spacing w:before="100" w:beforeAutospacing="1" w:after="100" w:afterAutospacing="1"/>
        <w:rPr>
          <w:rFonts w:asciiTheme="majorHAnsi" w:hAnsiTheme="majorHAnsi"/>
        </w:rPr>
      </w:pPr>
      <w:r w:rsidRPr="00F73126">
        <w:rPr>
          <w:rFonts w:asciiTheme="majorHAnsi" w:hAnsiTheme="majorHAnsi"/>
          <w:b/>
        </w:rPr>
        <w:t>Homework/Quiz/Journal/In-Class Activity Policies</w:t>
      </w:r>
      <w:r w:rsidRPr="00F73126">
        <w:rPr>
          <w:rFonts w:asciiTheme="majorHAnsi" w:hAnsiTheme="majorHAnsi"/>
        </w:rPr>
        <w:t>: Homework assignments over the material covered in class are detailed in an assignment sheet and are the student’s responsibility to complete. Quizzes may be given occasionally over the homework material. Quizzes may not be made up. In-Class activities will be conducted on a regular basis for which students receive a participation grade. In-Class activities may not be made up. Calculators Allowed. (Strongly Recommended: TI73, 83, 83Plus, 84, 84Plus)</w:t>
      </w:r>
      <w:r>
        <w:rPr>
          <w:rFonts w:asciiTheme="majorHAnsi" w:hAnsiTheme="majorHAnsi"/>
        </w:rPr>
        <w:t xml:space="preserve">. If an assignment is late, it will automatically be dropped one letter grade. </w:t>
      </w:r>
    </w:p>
    <w:p w:rsidR="00E21442" w:rsidRPr="0033558D" w:rsidRDefault="00E21442" w:rsidP="00E21442">
      <w:pPr>
        <w:ind w:left="720"/>
      </w:pPr>
    </w:p>
    <w:p w:rsidR="00BD32B7" w:rsidRPr="001773B7" w:rsidRDefault="00BD32B7" w:rsidP="00BD32B7">
      <w:pPr>
        <w:rPr>
          <w:color w:val="FF0000"/>
        </w:rPr>
      </w:pPr>
    </w:p>
    <w:p w:rsidR="004B2CFB" w:rsidRPr="005734D9" w:rsidRDefault="004B2CFB" w:rsidP="004B2CFB">
      <w:pPr>
        <w:rPr>
          <w:b/>
        </w:rPr>
      </w:pPr>
      <w:r w:rsidRPr="005734D9">
        <w:rPr>
          <w:b/>
        </w:rPr>
        <w:t>Academic Integrity Statement</w:t>
      </w:r>
    </w:p>
    <w:p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1" w:history="1">
        <w:r w:rsidRPr="00BD32B7">
          <w:rPr>
            <w:rStyle w:val="Hyperlink"/>
            <w:rFonts w:cstheme="minorHAnsi"/>
          </w:rPr>
          <w:t>https://texarkanacollege.edu</w:t>
        </w:r>
      </w:hyperlink>
      <w:r w:rsidRPr="00BD32B7">
        <w:rPr>
          <w:rStyle w:val="A5"/>
          <w:rFonts w:cstheme="minorHAnsi"/>
          <w:sz w:val="24"/>
          <w:szCs w:val="24"/>
        </w:rPr>
        <w:t>.</w:t>
      </w:r>
    </w:p>
    <w:p w:rsidR="004B2CFB" w:rsidRDefault="004B2CFB" w:rsidP="004B2CFB">
      <w:pPr>
        <w:autoSpaceDE w:val="0"/>
        <w:autoSpaceDN w:val="0"/>
        <w:adjustRightInd w:val="0"/>
        <w:rPr>
          <w:rFonts w:eastAsia="Times New Roman" w:cstheme="minorHAnsi"/>
          <w:b/>
          <w:bCs/>
          <w:color w:val="000000"/>
        </w:rPr>
      </w:pPr>
    </w:p>
    <w:p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rsidR="004B2CFB" w:rsidRDefault="004B2CFB" w:rsidP="004B2CFB">
      <w:pPr>
        <w:autoSpaceDE w:val="0"/>
        <w:autoSpaceDN w:val="0"/>
        <w:adjustRightInd w:val="0"/>
        <w:rPr>
          <w:rFonts w:eastAsia="Times New Roman" w:cstheme="minorHAnsi"/>
          <w:b/>
          <w:color w:val="000000"/>
        </w:rPr>
      </w:pPr>
    </w:p>
    <w:p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rsidR="004B2CFB" w:rsidRPr="00641B65" w:rsidRDefault="004B2CFB" w:rsidP="004B2CFB">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930D0E" w:rsidRDefault="00930D0E">
      <w:pPr>
        <w:rPr>
          <w:rFonts w:eastAsia="Times New Roman" w:cstheme="minorHAnsi"/>
          <w:b/>
          <w:color w:val="000000"/>
          <w:sz w:val="28"/>
        </w:rPr>
      </w:pPr>
      <w:r>
        <w:rPr>
          <w:rFonts w:eastAsia="Times New Roman" w:cstheme="minorHAnsi"/>
          <w:b/>
          <w:color w:val="000000"/>
          <w:sz w:val="28"/>
        </w:rPr>
        <w:br w:type="page"/>
      </w:r>
    </w:p>
    <w:p w:rsidR="004B2CFB" w:rsidRPr="00671C9E" w:rsidRDefault="004B2CFB" w:rsidP="004B2CFB">
      <w:pPr>
        <w:autoSpaceDE w:val="0"/>
        <w:autoSpaceDN w:val="0"/>
        <w:adjustRightInd w:val="0"/>
        <w:rPr>
          <w:rFonts w:eastAsia="Times New Roman" w:cstheme="minorHAnsi"/>
          <w:b/>
          <w:color w:val="000000"/>
          <w:sz w:val="28"/>
        </w:rPr>
      </w:pPr>
      <w:bookmarkStart w:id="0" w:name="_GoBack"/>
      <w:bookmarkEnd w:id="0"/>
    </w:p>
    <w:p w:rsidR="00930D0E" w:rsidRDefault="00930D0E" w:rsidP="00DE42BA">
      <w:pPr>
        <w:rPr>
          <w:rFonts w:asciiTheme="majorHAnsi" w:hAnsiTheme="majorHAnsi"/>
          <w:b/>
        </w:rPr>
      </w:pPr>
    </w:p>
    <w:p w:rsidR="00930D0E" w:rsidRDefault="00930D0E" w:rsidP="00DE42BA">
      <w:pPr>
        <w:rPr>
          <w:rFonts w:asciiTheme="majorHAnsi" w:hAnsiTheme="majorHAnsi"/>
          <w:b/>
        </w:rPr>
      </w:pPr>
    </w:p>
    <w:p w:rsidR="00DE42BA" w:rsidRPr="00C50382" w:rsidRDefault="00DE42BA" w:rsidP="00DE42BA">
      <w:pPr>
        <w:rPr>
          <w:rFonts w:asciiTheme="majorHAnsi" w:hAnsiTheme="majorHAnsi"/>
          <w:b/>
        </w:rPr>
      </w:pPr>
      <w:r w:rsidRPr="00C50382">
        <w:rPr>
          <w:rFonts w:asciiTheme="majorHAnsi" w:hAnsiTheme="majorHAnsi"/>
          <w:b/>
        </w:rPr>
        <w:t>Statement of Acknowledgement and Agreement</w:t>
      </w:r>
    </w:p>
    <w:p w:rsidR="00DE42BA" w:rsidRPr="00DE42BA" w:rsidRDefault="00DE42BA" w:rsidP="00DE42BA">
      <w:pPr>
        <w:spacing w:line="360" w:lineRule="auto"/>
        <w:rPr>
          <w:rFonts w:asciiTheme="majorHAnsi" w:hAnsiTheme="majorHAnsi"/>
          <w:sz w:val="20"/>
          <w:szCs w:val="20"/>
        </w:rPr>
      </w:pPr>
      <w:r w:rsidRPr="00DE42BA">
        <w:rPr>
          <w:rFonts w:asciiTheme="majorHAnsi" w:hAnsiTheme="majorHAnsi"/>
          <w:sz w:val="20"/>
          <w:szCs w:val="20"/>
        </w:rPr>
        <w:t xml:space="preserve">     I have read, understand, and agree to abide by the above course policies and requirements. In particular, I understand and agree to abide by the mastery requirements for the course. If I do not achieve the mastery requirements I will be dropped from the course or receive a grade of an F for the course. I am aware of and understand that the instructor reserves the right to modify the content of this course without prior notification. </w:t>
      </w:r>
    </w:p>
    <w:p w:rsidR="00DE42BA" w:rsidRPr="00E95371" w:rsidRDefault="00DE42BA" w:rsidP="00DE42BA">
      <w:pPr>
        <w:rPr>
          <w:rFonts w:asciiTheme="majorHAnsi" w:hAnsiTheme="majorHAnsi"/>
        </w:rPr>
      </w:pPr>
    </w:p>
    <w:p w:rsidR="00DE42BA" w:rsidRDefault="00DE42BA" w:rsidP="00DE42BA">
      <w:pPr>
        <w:rPr>
          <w:rFonts w:asciiTheme="majorHAnsi" w:hAnsiTheme="majorHAnsi"/>
        </w:rPr>
      </w:pPr>
      <w:r w:rsidRPr="00E95371">
        <w:rPr>
          <w:rFonts w:asciiTheme="majorHAnsi" w:hAnsiTheme="majorHAnsi"/>
        </w:rPr>
        <w:t>Name Printed________________________________________________________</w:t>
      </w:r>
      <w:r>
        <w:rPr>
          <w:rFonts w:asciiTheme="majorHAnsi" w:hAnsiTheme="majorHAnsi"/>
        </w:rPr>
        <w:t>__________</w:t>
      </w:r>
    </w:p>
    <w:p w:rsidR="00DE42BA" w:rsidRPr="00E95371" w:rsidRDefault="00DE42BA" w:rsidP="00DE42BA">
      <w:pPr>
        <w:rPr>
          <w:rFonts w:asciiTheme="majorHAnsi" w:hAnsiTheme="majorHAnsi"/>
        </w:rPr>
      </w:pPr>
    </w:p>
    <w:p w:rsidR="00DE42BA" w:rsidRPr="00E95371" w:rsidRDefault="00DE42BA" w:rsidP="00DE42BA">
      <w:pPr>
        <w:rPr>
          <w:rFonts w:asciiTheme="majorHAnsi" w:hAnsiTheme="majorHAnsi"/>
        </w:rPr>
      </w:pPr>
      <w:r w:rsidRPr="00E95371">
        <w:rPr>
          <w:rFonts w:asciiTheme="majorHAnsi" w:hAnsiTheme="majorHAnsi"/>
        </w:rPr>
        <w:t>Signature__________________________</w:t>
      </w:r>
      <w:r>
        <w:rPr>
          <w:rFonts w:asciiTheme="majorHAnsi" w:hAnsiTheme="majorHAnsi"/>
        </w:rPr>
        <w:t>______________________Date____________</w:t>
      </w:r>
    </w:p>
    <w:p w:rsidR="004B2CFB" w:rsidRDefault="004B2CFB" w:rsidP="004B2CFB">
      <w:pPr>
        <w:autoSpaceDE w:val="0"/>
        <w:autoSpaceDN w:val="0"/>
        <w:adjustRightInd w:val="0"/>
        <w:ind w:left="720"/>
        <w:rPr>
          <w:rFonts w:eastAsia="Times New Roman" w:cstheme="minorHAnsi"/>
          <w:color w:val="000000"/>
        </w:rPr>
      </w:pPr>
    </w:p>
    <w:sectPr w:rsidR="004B2CFB" w:rsidSect="009F5626">
      <w:head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60A" w:rsidRDefault="003D560A" w:rsidP="00C90E6F">
      <w:r>
        <w:separator/>
      </w:r>
    </w:p>
  </w:endnote>
  <w:endnote w:type="continuationSeparator" w:id="0">
    <w:p w:rsidR="003D560A" w:rsidRDefault="003D560A"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60A" w:rsidRDefault="003D560A" w:rsidP="00C90E6F">
      <w:r>
        <w:separator/>
      </w:r>
    </w:p>
  </w:footnote>
  <w:footnote w:type="continuationSeparator" w:id="0">
    <w:p w:rsidR="003D560A" w:rsidRDefault="003D560A" w:rsidP="00C90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E6F" w:rsidRDefault="009F5626">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C2E3D"/>
    <w:multiLevelType w:val="hybridMultilevel"/>
    <w:tmpl w:val="B7441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6259A3"/>
    <w:multiLevelType w:val="hybridMultilevel"/>
    <w:tmpl w:val="25824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225CDC"/>
    <w:multiLevelType w:val="hybridMultilevel"/>
    <w:tmpl w:val="44F2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6304AB"/>
    <w:multiLevelType w:val="hybridMultilevel"/>
    <w:tmpl w:val="A6463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E6F"/>
    <w:rsid w:val="00021600"/>
    <w:rsid w:val="00067EA7"/>
    <w:rsid w:val="000F0330"/>
    <w:rsid w:val="001A3E1D"/>
    <w:rsid w:val="00203B27"/>
    <w:rsid w:val="00205033"/>
    <w:rsid w:val="002E477A"/>
    <w:rsid w:val="0033558D"/>
    <w:rsid w:val="003D560A"/>
    <w:rsid w:val="004044B9"/>
    <w:rsid w:val="004B2CFB"/>
    <w:rsid w:val="004B3CF0"/>
    <w:rsid w:val="005C0F21"/>
    <w:rsid w:val="006C72E8"/>
    <w:rsid w:val="006F2452"/>
    <w:rsid w:val="00722422"/>
    <w:rsid w:val="00930D0E"/>
    <w:rsid w:val="009319C9"/>
    <w:rsid w:val="009F46E2"/>
    <w:rsid w:val="009F5626"/>
    <w:rsid w:val="00B43FAF"/>
    <w:rsid w:val="00BD32B7"/>
    <w:rsid w:val="00BD7116"/>
    <w:rsid w:val="00C44760"/>
    <w:rsid w:val="00C90E6F"/>
    <w:rsid w:val="00DE42BA"/>
    <w:rsid w:val="00E1383A"/>
    <w:rsid w:val="00E21442"/>
    <w:rsid w:val="00F61B58"/>
    <w:rsid w:val="00F73126"/>
    <w:rsid w:val="00F8090E"/>
    <w:rsid w:val="00FB3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34"/>
    <w:qFormat/>
    <w:rsid w:val="002050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34"/>
    <w:qFormat/>
    <w:rsid w:val="00205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42579">
      <w:bodyDiv w:val="1"/>
      <w:marLeft w:val="0"/>
      <w:marRight w:val="0"/>
      <w:marTop w:val="0"/>
      <w:marBottom w:val="0"/>
      <w:divBdr>
        <w:top w:val="none" w:sz="0" w:space="0" w:color="auto"/>
        <w:left w:val="none" w:sz="0" w:space="0" w:color="auto"/>
        <w:bottom w:val="none" w:sz="0" w:space="0" w:color="auto"/>
        <w:right w:val="none" w:sz="0" w:space="0" w:color="auto"/>
      </w:divBdr>
    </w:div>
    <w:div w:id="208998558">
      <w:bodyDiv w:val="1"/>
      <w:marLeft w:val="0"/>
      <w:marRight w:val="0"/>
      <w:marTop w:val="0"/>
      <w:marBottom w:val="0"/>
      <w:divBdr>
        <w:top w:val="none" w:sz="0" w:space="0" w:color="auto"/>
        <w:left w:val="none" w:sz="0" w:space="0" w:color="auto"/>
        <w:bottom w:val="none" w:sz="0" w:space="0" w:color="auto"/>
        <w:right w:val="none" w:sz="0" w:space="0" w:color="auto"/>
      </w:divBdr>
    </w:div>
    <w:div w:id="228662873">
      <w:bodyDiv w:val="1"/>
      <w:marLeft w:val="0"/>
      <w:marRight w:val="0"/>
      <w:marTop w:val="0"/>
      <w:marBottom w:val="0"/>
      <w:divBdr>
        <w:top w:val="none" w:sz="0" w:space="0" w:color="auto"/>
        <w:left w:val="none" w:sz="0" w:space="0" w:color="auto"/>
        <w:bottom w:val="none" w:sz="0" w:space="0" w:color="auto"/>
        <w:right w:val="none" w:sz="0" w:space="0" w:color="auto"/>
      </w:divBdr>
    </w:div>
    <w:div w:id="268510292">
      <w:bodyDiv w:val="1"/>
      <w:marLeft w:val="0"/>
      <w:marRight w:val="0"/>
      <w:marTop w:val="0"/>
      <w:marBottom w:val="0"/>
      <w:divBdr>
        <w:top w:val="none" w:sz="0" w:space="0" w:color="auto"/>
        <w:left w:val="none" w:sz="0" w:space="0" w:color="auto"/>
        <w:bottom w:val="none" w:sz="0" w:space="0" w:color="auto"/>
        <w:right w:val="none" w:sz="0" w:space="0" w:color="auto"/>
      </w:divBdr>
    </w:div>
    <w:div w:id="671880808">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887573185">
      <w:bodyDiv w:val="1"/>
      <w:marLeft w:val="0"/>
      <w:marRight w:val="0"/>
      <w:marTop w:val="0"/>
      <w:marBottom w:val="0"/>
      <w:divBdr>
        <w:top w:val="none" w:sz="0" w:space="0" w:color="auto"/>
        <w:left w:val="none" w:sz="0" w:space="0" w:color="auto"/>
        <w:bottom w:val="none" w:sz="0" w:space="0" w:color="auto"/>
        <w:right w:val="none" w:sz="0" w:space="0" w:color="auto"/>
      </w:divBdr>
    </w:div>
    <w:div w:id="1282804454">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712804761">
      <w:bodyDiv w:val="1"/>
      <w:marLeft w:val="0"/>
      <w:marRight w:val="0"/>
      <w:marTop w:val="0"/>
      <w:marBottom w:val="0"/>
      <w:divBdr>
        <w:top w:val="none" w:sz="0" w:space="0" w:color="auto"/>
        <w:left w:val="none" w:sz="0" w:space="0" w:color="auto"/>
        <w:bottom w:val="none" w:sz="0" w:space="0" w:color="auto"/>
        <w:right w:val="none" w:sz="0" w:space="0" w:color="auto"/>
      </w:divBdr>
    </w:div>
    <w:div w:id="1916091863">
      <w:bodyDiv w:val="1"/>
      <w:marLeft w:val="0"/>
      <w:marRight w:val="0"/>
      <w:marTop w:val="0"/>
      <w:marBottom w:val="0"/>
      <w:divBdr>
        <w:top w:val="none" w:sz="0" w:space="0" w:color="auto"/>
        <w:left w:val="none" w:sz="0" w:space="0" w:color="auto"/>
        <w:bottom w:val="none" w:sz="0" w:space="0" w:color="auto"/>
        <w:right w:val="none" w:sz="0" w:space="0" w:color="auto"/>
      </w:divBdr>
    </w:div>
    <w:div w:id="1965235911">
      <w:bodyDiv w:val="1"/>
      <w:marLeft w:val="0"/>
      <w:marRight w:val="0"/>
      <w:marTop w:val="0"/>
      <w:marBottom w:val="0"/>
      <w:divBdr>
        <w:top w:val="none" w:sz="0" w:space="0" w:color="auto"/>
        <w:left w:val="none" w:sz="0" w:space="0" w:color="auto"/>
        <w:bottom w:val="none" w:sz="0" w:space="0" w:color="auto"/>
        <w:right w:val="none" w:sz="0" w:space="0" w:color="auto"/>
      </w:divBdr>
    </w:div>
    <w:div w:id="1965499719">
      <w:bodyDiv w:val="1"/>
      <w:marLeft w:val="0"/>
      <w:marRight w:val="0"/>
      <w:marTop w:val="0"/>
      <w:marBottom w:val="0"/>
      <w:divBdr>
        <w:top w:val="none" w:sz="0" w:space="0" w:color="auto"/>
        <w:left w:val="none" w:sz="0" w:space="0" w:color="auto"/>
        <w:bottom w:val="none" w:sz="0" w:space="0" w:color="auto"/>
        <w:right w:val="none" w:sz="0" w:space="0" w:color="auto"/>
      </w:divBdr>
    </w:div>
    <w:div w:id="1972637619">
      <w:bodyDiv w:val="1"/>
      <w:marLeft w:val="0"/>
      <w:marRight w:val="0"/>
      <w:marTop w:val="0"/>
      <w:marBottom w:val="0"/>
      <w:divBdr>
        <w:top w:val="none" w:sz="0" w:space="0" w:color="auto"/>
        <w:left w:val="none" w:sz="0" w:space="0" w:color="auto"/>
        <w:bottom w:val="none" w:sz="0" w:space="0" w:color="auto"/>
        <w:right w:val="none" w:sz="0" w:space="0" w:color="auto"/>
      </w:divBdr>
    </w:div>
    <w:div w:id="2011175023">
      <w:bodyDiv w:val="1"/>
      <w:marLeft w:val="0"/>
      <w:marRight w:val="0"/>
      <w:marTop w:val="0"/>
      <w:marBottom w:val="0"/>
      <w:divBdr>
        <w:top w:val="none" w:sz="0" w:space="0" w:color="auto"/>
        <w:left w:val="none" w:sz="0" w:space="0" w:color="auto"/>
        <w:bottom w:val="none" w:sz="0" w:space="0" w:color="auto"/>
        <w:right w:val="none" w:sz="0" w:space="0" w:color="auto"/>
      </w:divBdr>
    </w:div>
    <w:div w:id="20800119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xarkanacollege.edu" TargetMode="External"/><Relationship Id="rId5" Type="http://schemas.openxmlformats.org/officeDocument/2006/relationships/settings" Target="settings.xml"/><Relationship Id="rId10" Type="http://schemas.openxmlformats.org/officeDocument/2006/relationships/hyperlink" Target="mailto:klarj@txkisd.net" TargetMode="External"/><Relationship Id="rId4" Type="http://schemas.microsoft.com/office/2007/relationships/stylesWithEffects" Target="stylesWithEffects.xml"/><Relationship Id="rId9" Type="http://schemas.openxmlformats.org/officeDocument/2006/relationships/hyperlink" Target="mailto:Jennifer.klar@texarkanacollege.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B9669-DE4F-4C8E-B1F2-25A4637E9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Administrator</cp:lastModifiedBy>
  <cp:revision>2</cp:revision>
  <dcterms:created xsi:type="dcterms:W3CDTF">2015-08-24T18:44:00Z</dcterms:created>
  <dcterms:modified xsi:type="dcterms:W3CDTF">2015-08-24T18:44:00Z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